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charts/chart1.xml" ContentType="application/vnd.openxmlformats-officedocument.drawingml.chart+xml"/>
  <Override PartName="/word/charts/chart4.xml" ContentType="application/vnd.openxmlformats-officedocument.drawingml.chart+xml"/>
  <Override PartName="/word/charts/chart3.xml" ContentType="application/vnd.openxmlformats-officedocument.drawingml.chart+xml"/>
  <Override PartName="/word/charts/chart2.xml" ContentType="application/vnd.openxmlformats-officedocument.drawingml.chart+xml"/>
  <Override PartName="/word/settings.xml" ContentType="application/vnd.openxmlformats-officedocument.wordprocessingml.settings+xml"/>
  <Override PartName="/word/webSettings.xml" ContentType="application/vnd.openxmlformats-officedocument.wordprocessingml.webSetting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tyles.xml" ContentType="application/vnd.openxmlformats-officedocument.wordprocessingml.styl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D75975" w:rsidRPr="00861634" w:rsidRDefault="004B4F83" w:rsidP="00861634">
      <w:pPr>
        <w:pStyle w:val="Body"/>
        <w:spacing w:after="120"/>
        <w:rPr>
          <w:rFonts w:ascii="Calibri" w:eastAsia="Calibri" w:hAnsi="Calibri" w:cs="Calibri"/>
          <w:b/>
          <w:bCs/>
          <w:color w:val="auto"/>
          <w:sz w:val="20"/>
          <w:szCs w:val="20"/>
        </w:rPr>
      </w:pPr>
      <w:bookmarkStart w:id="0" w:name="_GoBack"/>
      <w:bookmarkEnd w:id="0"/>
      <w:r w:rsidRPr="00861634">
        <w:rPr>
          <w:rFonts w:ascii="Calibri" w:eastAsia="Calibri" w:hAnsi="Calibri" w:cs="Calibri"/>
          <w:b/>
          <w:bCs/>
          <w:color w:val="auto"/>
          <w:sz w:val="20"/>
          <w:szCs w:val="20"/>
        </w:rPr>
        <w:t>Annex F: Gender analysis and action plan.</w:t>
      </w:r>
    </w:p>
    <w:p w:rsidR="00D75975" w:rsidRPr="00861634" w:rsidRDefault="00D75975" w:rsidP="00861634">
      <w:pPr>
        <w:pStyle w:val="Body"/>
        <w:spacing w:after="120"/>
        <w:rPr>
          <w:rFonts w:ascii="Calibri" w:eastAsia="Calibri" w:hAnsi="Calibri" w:cs="Calibri"/>
          <w:b/>
          <w:bCs/>
          <w:color w:val="auto"/>
          <w:sz w:val="20"/>
          <w:szCs w:val="20"/>
        </w:rPr>
      </w:pPr>
    </w:p>
    <w:p w:rsidR="00D75975" w:rsidRPr="00861634" w:rsidRDefault="004B4F83" w:rsidP="00861634">
      <w:pPr>
        <w:pStyle w:val="ListParagraph"/>
        <w:spacing w:after="120"/>
        <w:ind w:left="0"/>
        <w:rPr>
          <w:rFonts w:ascii="Calibri" w:eastAsia="Calibri" w:hAnsi="Calibri" w:cs="Calibri"/>
          <w:b/>
          <w:bCs/>
          <w:color w:val="auto"/>
          <w:sz w:val="20"/>
          <w:szCs w:val="20"/>
        </w:rPr>
      </w:pPr>
      <w:r w:rsidRPr="00861634">
        <w:rPr>
          <w:rFonts w:ascii="Calibri" w:eastAsia="Calibri" w:hAnsi="Calibri" w:cs="Calibri"/>
          <w:b/>
          <w:bCs/>
          <w:color w:val="auto"/>
          <w:sz w:val="20"/>
          <w:szCs w:val="20"/>
        </w:rPr>
        <w:t>Introduction</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Fonts w:ascii="Calibri" w:eastAsia="Calibri" w:hAnsi="Calibri" w:cs="Calibri"/>
          <w:color w:val="auto"/>
          <w:sz w:val="20"/>
          <w:szCs w:val="20"/>
        </w:rPr>
        <w:t>The current gender mainstreaming plan follows the mandates of GEF and UNDP, which both place strong emphasis on addressing gender inequality and ensuring the mainstreaming of women. The new GEF Gender Equality Policy from November 2017 underscores the importance of gender equality and women’s empowerment and aligns GEF’s gender mainstreaming approach with international best practices. The policy represents a major shift from a gender-aware, “do no harm” approach to a gender-responsive “do good” approach.</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Fonts w:ascii="Calibri" w:eastAsia="Calibri" w:hAnsi="Calibri" w:cs="Calibri"/>
          <w:color w:val="auto"/>
          <w:sz w:val="20"/>
          <w:szCs w:val="20"/>
        </w:rPr>
        <w:t xml:space="preserve">UNDP, one of the GEF agencies, has the advancement of gender equality and the empowerment of women at the center of its development mandate, and seeks to eliminate gender inequalities by ensuring its development efforts take into account the voice and views of women and to remove barriers to gender equality. UNDP actively promotes women’s participation in decision making and sees the gender responsive approach as key to achieving the </w:t>
      </w:r>
      <w:r w:rsidRPr="00861634">
        <w:rPr>
          <w:rFonts w:ascii="Calibri" w:eastAsia="Calibri" w:hAnsi="Calibri" w:cs="Calibri"/>
          <w:color w:val="auto"/>
          <w:sz w:val="20"/>
          <w:szCs w:val="20"/>
          <w:u w:color="FF0000"/>
        </w:rPr>
        <w:t xml:space="preserve">Sustainable Development Goals and its underlying Gender goal and targets. </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Fonts w:ascii="Calibri" w:eastAsia="Calibri" w:hAnsi="Calibri" w:cs="Calibri"/>
          <w:color w:val="auto"/>
          <w:sz w:val="20"/>
          <w:szCs w:val="20"/>
          <w:u w:color="FF0000"/>
        </w:rPr>
        <w:t xml:space="preserve">The current gender mainstreaming plan consists of a summary baseline review of the gender/women situation within China, followed by an outline of gender actions and strategies which the project is to follow during its implementation. The outline is based on an analysis of how the project’s proposed activities and outputs can support the GEF/UNDP mandate to further gender equality and mainstreaming of women. This analysis is annexed to the current document.  </w:t>
      </w:r>
    </w:p>
    <w:p w:rsidR="00D75975" w:rsidRPr="00861634" w:rsidRDefault="00D75975" w:rsidP="00861634">
      <w:pPr>
        <w:pStyle w:val="Body"/>
        <w:spacing w:after="120"/>
        <w:rPr>
          <w:rFonts w:ascii="Calibri" w:eastAsia="Calibri" w:hAnsi="Calibri" w:cs="Calibri"/>
          <w:b/>
          <w:bCs/>
          <w:color w:val="auto"/>
          <w:sz w:val="20"/>
          <w:szCs w:val="20"/>
        </w:rPr>
      </w:pPr>
    </w:p>
    <w:p w:rsidR="00D75975" w:rsidRPr="00861634" w:rsidRDefault="004B4F83" w:rsidP="00861634">
      <w:pPr>
        <w:pStyle w:val="ListParagraph"/>
        <w:spacing w:after="120"/>
        <w:ind w:left="0"/>
        <w:rPr>
          <w:rFonts w:ascii="Calibri" w:eastAsia="Calibri" w:hAnsi="Calibri" w:cs="Calibri"/>
          <w:b/>
          <w:bCs/>
          <w:color w:val="auto"/>
          <w:sz w:val="20"/>
          <w:szCs w:val="20"/>
        </w:rPr>
      </w:pPr>
      <w:r w:rsidRPr="00861634">
        <w:rPr>
          <w:rFonts w:ascii="Calibri" w:eastAsia="Calibri" w:hAnsi="Calibri" w:cs="Calibri"/>
          <w:b/>
          <w:bCs/>
          <w:color w:val="auto"/>
          <w:sz w:val="20"/>
          <w:szCs w:val="20"/>
        </w:rPr>
        <w:t xml:space="preserve">Policy and legislation </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Fonts w:ascii="Calibri" w:eastAsia="Calibri" w:hAnsi="Calibri" w:cs="Calibri"/>
          <w:color w:val="auto"/>
          <w:sz w:val="20"/>
          <w:szCs w:val="20"/>
        </w:rPr>
        <w:t>China has for the last 20 plus years, ever since the 4</w:t>
      </w:r>
      <w:r w:rsidRPr="00861634">
        <w:rPr>
          <w:rFonts w:ascii="Calibri" w:eastAsia="Calibri" w:hAnsi="Calibri" w:cs="Calibri"/>
          <w:color w:val="auto"/>
          <w:sz w:val="20"/>
          <w:szCs w:val="20"/>
          <w:vertAlign w:val="superscript"/>
        </w:rPr>
        <w:t>th</w:t>
      </w:r>
      <w:r w:rsidRPr="00861634">
        <w:rPr>
          <w:rFonts w:ascii="Calibri" w:eastAsia="Calibri" w:hAnsi="Calibri" w:cs="Calibri"/>
          <w:color w:val="auto"/>
          <w:sz w:val="20"/>
          <w:szCs w:val="20"/>
        </w:rPr>
        <w:t xml:space="preserve"> World Conference on Women was held in Beijing in 1995 under the slogan “women hold up half the sky,” had an increasing focus on gender equality and the mainstreaming of women. The conference and the adopted Beijing Declaration and Platform for Action became a milestone in China’s efforts, as well as the world’s.</w:t>
      </w:r>
    </w:p>
    <w:p w:rsidR="00D75975" w:rsidRPr="00861634" w:rsidRDefault="004B4F83" w:rsidP="00861634">
      <w:pPr>
        <w:pStyle w:val="ListParagraph"/>
        <w:numPr>
          <w:ilvl w:val="0"/>
          <w:numId w:val="2"/>
        </w:numPr>
        <w:spacing w:after="120"/>
        <w:ind w:left="0" w:firstLine="0"/>
        <w:rPr>
          <w:rFonts w:ascii="Calibri" w:eastAsia="Calibri" w:hAnsi="Calibri" w:cs="Calibri"/>
          <w:i/>
          <w:iCs/>
          <w:color w:val="auto"/>
          <w:sz w:val="20"/>
          <w:szCs w:val="20"/>
        </w:rPr>
      </w:pPr>
      <w:r w:rsidRPr="00861634">
        <w:rPr>
          <w:rFonts w:ascii="Calibri" w:eastAsia="Calibri" w:hAnsi="Calibri" w:cs="Calibri"/>
          <w:color w:val="auto"/>
          <w:sz w:val="20"/>
          <w:szCs w:val="20"/>
        </w:rPr>
        <w:t xml:space="preserve">Following, or rather as an integrated part of the Chinese Government’s response to the conference, China launched its first of now three national </w:t>
      </w:r>
      <w:proofErr w:type="spellStart"/>
      <w:r w:rsidRPr="00861634">
        <w:rPr>
          <w:rFonts w:ascii="Calibri" w:eastAsia="Calibri" w:hAnsi="Calibri" w:cs="Calibri"/>
          <w:color w:val="auto"/>
          <w:sz w:val="20"/>
          <w:szCs w:val="20"/>
        </w:rPr>
        <w:t>programmes</w:t>
      </w:r>
      <w:proofErr w:type="spellEnd"/>
      <w:r w:rsidRPr="00861634">
        <w:rPr>
          <w:rFonts w:ascii="Calibri" w:eastAsia="Calibri" w:hAnsi="Calibri" w:cs="Calibri"/>
          <w:color w:val="auto"/>
          <w:sz w:val="20"/>
          <w:szCs w:val="20"/>
        </w:rPr>
        <w:t xml:space="preserve"> for the development of women (1995-2000, 2001-2010, and 2011-2020) all aimed at ensuring the mainstreaming of women and decreasing the gender gaps. The current third national </w:t>
      </w:r>
      <w:proofErr w:type="spellStart"/>
      <w:r w:rsidRPr="00861634">
        <w:rPr>
          <w:rFonts w:ascii="Calibri" w:eastAsia="Calibri" w:hAnsi="Calibri" w:cs="Calibri"/>
          <w:color w:val="auto"/>
          <w:sz w:val="20"/>
          <w:szCs w:val="20"/>
        </w:rPr>
        <w:t>programme</w:t>
      </w:r>
      <w:proofErr w:type="spellEnd"/>
      <w:r w:rsidRPr="00861634">
        <w:rPr>
          <w:rFonts w:ascii="Calibri" w:eastAsia="Calibri" w:hAnsi="Calibri" w:cs="Calibri"/>
          <w:color w:val="auto"/>
          <w:sz w:val="20"/>
          <w:szCs w:val="20"/>
        </w:rPr>
        <w:t xml:space="preserve"> has six priority areas of development: women and the economy; women's participation in decision-making and management; women's education; women and health; women and the law and women and the environment</w:t>
      </w:r>
      <w:r w:rsidRPr="00861634">
        <w:rPr>
          <w:rFonts w:ascii="Calibri" w:eastAsia="Times New Roman" w:hAnsi="Calibri" w:cs="Calibri"/>
          <w:color w:val="auto"/>
          <w:sz w:val="20"/>
          <w:szCs w:val="20"/>
          <w:vertAlign w:val="superscript"/>
        </w:rPr>
        <w:footnoteReference w:id="2"/>
      </w:r>
      <w:r w:rsidRPr="00861634">
        <w:rPr>
          <w:rStyle w:val="None"/>
          <w:rFonts w:ascii="Calibri" w:eastAsia="Calibri" w:hAnsi="Calibri" w:cs="Calibri"/>
          <w:color w:val="auto"/>
          <w:sz w:val="20"/>
          <w:szCs w:val="20"/>
        </w:rPr>
        <w:t xml:space="preserve">. The </w:t>
      </w:r>
      <w:proofErr w:type="spellStart"/>
      <w:r w:rsidRPr="00861634">
        <w:rPr>
          <w:rStyle w:val="None"/>
          <w:rFonts w:ascii="Calibri" w:eastAsia="Calibri" w:hAnsi="Calibri" w:cs="Calibri"/>
          <w:color w:val="auto"/>
          <w:sz w:val="20"/>
          <w:szCs w:val="20"/>
        </w:rPr>
        <w:t>programme</w:t>
      </w:r>
      <w:proofErr w:type="spellEnd"/>
      <w:r w:rsidRPr="00861634">
        <w:rPr>
          <w:rStyle w:val="None"/>
          <w:rFonts w:ascii="Calibri" w:eastAsia="Calibri" w:hAnsi="Calibri" w:cs="Calibri"/>
          <w:color w:val="auto"/>
          <w:sz w:val="20"/>
          <w:szCs w:val="20"/>
        </w:rPr>
        <w:t xml:space="preserve"> provides strategies to address the</w:t>
      </w:r>
      <w:r w:rsidRPr="00861634">
        <w:rPr>
          <w:rFonts w:ascii="Calibri" w:eastAsia="Calibri" w:hAnsi="Calibri" w:cs="Calibri"/>
          <w:i/>
          <w:iCs/>
          <w:color w:val="auto"/>
          <w:sz w:val="20"/>
          <w:szCs w:val="20"/>
        </w:rPr>
        <w:t xml:space="preserve"> </w:t>
      </w:r>
      <w:r w:rsidRPr="00861634">
        <w:rPr>
          <w:rStyle w:val="None"/>
          <w:rFonts w:ascii="Calibri" w:eastAsia="Calibri" w:hAnsi="Calibri" w:cs="Calibri"/>
          <w:color w:val="auto"/>
          <w:sz w:val="20"/>
          <w:szCs w:val="20"/>
        </w:rPr>
        <w:t xml:space="preserve">identified challenges faced by different groups of women, such as migrant women, farmers, new urban residents </w:t>
      </w:r>
      <w:proofErr w:type="spellStart"/>
      <w:r w:rsidRPr="00861634">
        <w:rPr>
          <w:rStyle w:val="None"/>
          <w:rFonts w:ascii="Calibri" w:eastAsia="Calibri" w:hAnsi="Calibri" w:cs="Calibri"/>
          <w:color w:val="auto"/>
          <w:sz w:val="20"/>
          <w:szCs w:val="20"/>
        </w:rPr>
        <w:t>etc</w:t>
      </w:r>
      <w:proofErr w:type="spellEnd"/>
      <w:r w:rsidRPr="00861634">
        <w:rPr>
          <w:rStyle w:val="None"/>
          <w:rFonts w:ascii="Calibri" w:eastAsia="Times New Roman" w:hAnsi="Calibri" w:cs="Calibri"/>
          <w:color w:val="auto"/>
          <w:sz w:val="20"/>
          <w:szCs w:val="20"/>
          <w:vertAlign w:val="superscript"/>
        </w:rPr>
        <w:footnoteReference w:id="3"/>
      </w:r>
      <w:r w:rsidRPr="00861634">
        <w:rPr>
          <w:rStyle w:val="None"/>
          <w:rFonts w:ascii="Calibri" w:eastAsia="Calibri" w:hAnsi="Calibri" w:cs="Calibri"/>
          <w:color w:val="auto"/>
          <w:sz w:val="20"/>
          <w:szCs w:val="20"/>
        </w:rPr>
        <w:t>.</w:t>
      </w:r>
      <w:r w:rsidRPr="00861634">
        <w:rPr>
          <w:rStyle w:val="None"/>
          <w:rFonts w:ascii="Calibri" w:eastAsia="Calibri" w:hAnsi="Calibri" w:cs="Calibri"/>
          <w:color w:val="auto"/>
          <w:sz w:val="20"/>
          <w:szCs w:val="20"/>
          <w:u w:color="FF0000"/>
        </w:rPr>
        <w:t xml:space="preserve"> </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Style w:val="None"/>
          <w:rFonts w:ascii="Calibri" w:eastAsia="Calibri" w:hAnsi="Calibri" w:cs="Calibri"/>
          <w:color w:val="auto"/>
          <w:sz w:val="20"/>
          <w:szCs w:val="20"/>
        </w:rPr>
        <w:t>It could be said that the 4</w:t>
      </w:r>
      <w:r w:rsidRPr="00861634">
        <w:rPr>
          <w:rStyle w:val="None"/>
          <w:rFonts w:ascii="Calibri" w:eastAsia="Calibri" w:hAnsi="Calibri" w:cs="Calibri"/>
          <w:color w:val="auto"/>
          <w:sz w:val="20"/>
          <w:szCs w:val="20"/>
          <w:vertAlign w:val="superscript"/>
        </w:rPr>
        <w:t>th</w:t>
      </w:r>
      <w:r w:rsidRPr="00861634">
        <w:rPr>
          <w:rStyle w:val="None"/>
          <w:rFonts w:ascii="Calibri" w:eastAsia="Calibri" w:hAnsi="Calibri" w:cs="Calibri"/>
          <w:color w:val="auto"/>
          <w:sz w:val="20"/>
          <w:szCs w:val="20"/>
        </w:rPr>
        <w:t xml:space="preserve"> World Conference on Women marked a change within the Chinese Government efforts, from the </w:t>
      </w:r>
      <w:r w:rsidRPr="00861634">
        <w:rPr>
          <w:rStyle w:val="None"/>
          <w:rFonts w:ascii="Calibri" w:eastAsia="Calibri" w:hAnsi="Calibri" w:cs="Calibri"/>
          <w:color w:val="auto"/>
          <w:sz w:val="20"/>
          <w:szCs w:val="20"/>
          <w:lang w:val="fr-FR"/>
        </w:rPr>
        <w:t xml:space="preserve">simple protection </w:t>
      </w:r>
      <w:r w:rsidRPr="00861634">
        <w:rPr>
          <w:rStyle w:val="None"/>
          <w:rFonts w:ascii="Calibri" w:eastAsia="Calibri" w:hAnsi="Calibri" w:cs="Calibri"/>
          <w:color w:val="auto"/>
          <w:sz w:val="20"/>
          <w:szCs w:val="20"/>
        </w:rPr>
        <w:t>of marginalized groups’ interests and rights to supporting their development</w:t>
      </w:r>
      <w:r w:rsidRPr="00861634">
        <w:rPr>
          <w:rStyle w:val="None"/>
          <w:rFonts w:ascii="Calibri" w:eastAsia="Times New Roman" w:hAnsi="Calibri" w:cs="Calibri"/>
          <w:color w:val="auto"/>
          <w:sz w:val="20"/>
          <w:szCs w:val="20"/>
          <w:vertAlign w:val="superscript"/>
        </w:rPr>
        <w:footnoteReference w:id="4"/>
      </w:r>
      <w:r w:rsidRPr="00861634">
        <w:rPr>
          <w:rStyle w:val="None"/>
          <w:rFonts w:ascii="Calibri" w:eastAsia="Calibri" w:hAnsi="Calibri" w:cs="Calibri"/>
          <w:color w:val="auto"/>
          <w:sz w:val="20"/>
          <w:szCs w:val="20"/>
        </w:rPr>
        <w:t xml:space="preserve">. </w:t>
      </w:r>
    </w:p>
    <w:p w:rsidR="00D75975" w:rsidRPr="00861634" w:rsidRDefault="004B4F83" w:rsidP="00861634">
      <w:pPr>
        <w:pStyle w:val="ListParagraph"/>
        <w:numPr>
          <w:ilvl w:val="0"/>
          <w:numId w:val="2"/>
        </w:numPr>
        <w:spacing w:after="120"/>
        <w:ind w:left="0" w:firstLine="0"/>
        <w:rPr>
          <w:rFonts w:ascii="Calibri" w:eastAsia="Calibri" w:hAnsi="Calibri" w:cs="Calibri"/>
          <w:i/>
          <w:iCs/>
          <w:color w:val="auto"/>
          <w:sz w:val="20"/>
          <w:szCs w:val="20"/>
        </w:rPr>
      </w:pPr>
      <w:r w:rsidRPr="00861634">
        <w:rPr>
          <w:rStyle w:val="None"/>
          <w:rFonts w:ascii="Calibri" w:eastAsia="Calibri" w:hAnsi="Calibri" w:cs="Calibri"/>
          <w:color w:val="auto"/>
          <w:sz w:val="20"/>
          <w:szCs w:val="20"/>
        </w:rPr>
        <w:t>That said, even before the Beijing conference, China had taken some important steps towards addressing women’s disadvantaged position in the society. The National Working Committee on Women, under the State Council, which has representatives from the main ministries as well as a few main outside organizations</w:t>
      </w:r>
      <w:r w:rsidRPr="00861634">
        <w:rPr>
          <w:rStyle w:val="None"/>
          <w:rFonts w:ascii="Calibri" w:eastAsia="Times New Roman" w:hAnsi="Calibri" w:cs="Calibri"/>
          <w:color w:val="auto"/>
          <w:sz w:val="20"/>
          <w:szCs w:val="20"/>
          <w:vertAlign w:val="superscript"/>
        </w:rPr>
        <w:footnoteReference w:id="5"/>
      </w:r>
      <w:r w:rsidRPr="00861634">
        <w:rPr>
          <w:rStyle w:val="None"/>
          <w:rFonts w:ascii="Calibri" w:eastAsia="Calibri" w:hAnsi="Calibri" w:cs="Calibri"/>
          <w:color w:val="auto"/>
          <w:sz w:val="20"/>
          <w:szCs w:val="20"/>
        </w:rPr>
        <w:t xml:space="preserve">, has </w:t>
      </w:r>
      <w:r w:rsidRPr="00861634">
        <w:rPr>
          <w:rStyle w:val="None"/>
          <w:rFonts w:ascii="Calibri" w:eastAsia="Calibri" w:hAnsi="Calibri" w:cs="Calibri"/>
          <w:color w:val="auto"/>
          <w:sz w:val="20"/>
          <w:szCs w:val="20"/>
          <w:lang w:val="nl-NL"/>
        </w:rPr>
        <w:t>coordinate</w:t>
      </w:r>
      <w:r w:rsidRPr="00861634">
        <w:rPr>
          <w:rStyle w:val="None"/>
          <w:rFonts w:ascii="Calibri" w:eastAsia="Calibri" w:hAnsi="Calibri" w:cs="Calibri"/>
          <w:color w:val="auto"/>
          <w:sz w:val="20"/>
          <w:szCs w:val="20"/>
        </w:rPr>
        <w:t>d China’s policies and programs related to women since 1990</w:t>
      </w:r>
      <w:r w:rsidRPr="00861634">
        <w:rPr>
          <w:rStyle w:val="None"/>
          <w:rFonts w:ascii="Calibri" w:eastAsia="Times New Roman" w:hAnsi="Calibri" w:cs="Calibri"/>
          <w:color w:val="auto"/>
          <w:sz w:val="20"/>
          <w:szCs w:val="20"/>
          <w:vertAlign w:val="superscript"/>
        </w:rPr>
        <w:footnoteReference w:id="6"/>
      </w:r>
      <w:r w:rsidRPr="00861634">
        <w:rPr>
          <w:rStyle w:val="None"/>
          <w:rFonts w:ascii="Calibri" w:eastAsia="Calibri" w:hAnsi="Calibri" w:cs="Calibri"/>
          <w:color w:val="auto"/>
          <w:sz w:val="20"/>
          <w:szCs w:val="20"/>
        </w:rPr>
        <w:t xml:space="preserve">. </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Fonts w:ascii="Calibri" w:eastAsia="Calibri" w:hAnsi="Calibri" w:cs="Calibri"/>
          <w:color w:val="auto"/>
          <w:sz w:val="20"/>
          <w:szCs w:val="20"/>
        </w:rPr>
        <w:t xml:space="preserve">In addition, key legislation was adopted early on, such as the Law on the Protection of Women's Rights and Interests (1992), the </w:t>
      </w:r>
      <w:proofErr w:type="spellStart"/>
      <w:r w:rsidRPr="00861634">
        <w:rPr>
          <w:rFonts w:ascii="Calibri" w:eastAsia="Calibri" w:hAnsi="Calibri" w:cs="Calibri"/>
          <w:color w:val="auto"/>
          <w:sz w:val="20"/>
          <w:szCs w:val="20"/>
        </w:rPr>
        <w:t>Labour</w:t>
      </w:r>
      <w:proofErr w:type="spellEnd"/>
      <w:r w:rsidRPr="00861634">
        <w:rPr>
          <w:rFonts w:ascii="Calibri" w:eastAsia="Calibri" w:hAnsi="Calibri" w:cs="Calibri"/>
          <w:color w:val="auto"/>
          <w:sz w:val="20"/>
          <w:szCs w:val="20"/>
        </w:rPr>
        <w:t xml:space="preserve"> Law (1994), and the Employment Promotion Law (2007). In the Law on </w:t>
      </w:r>
      <w:r w:rsidRPr="00861634">
        <w:rPr>
          <w:rFonts w:ascii="Calibri" w:eastAsia="Calibri" w:hAnsi="Calibri" w:cs="Calibri"/>
          <w:color w:val="auto"/>
          <w:sz w:val="20"/>
          <w:szCs w:val="20"/>
        </w:rPr>
        <w:lastRenderedPageBreak/>
        <w:t>the Protection of Women's Rights and Interests, which was amended in 2005, article 2 specifies that “women shall enjoy equal rights with men in all aspects of political, economic, cultural, social and family life”</w:t>
      </w:r>
      <w:r w:rsidRPr="00861634">
        <w:rPr>
          <w:rStyle w:val="None"/>
          <w:rFonts w:ascii="Calibri" w:eastAsia="Times New Roman" w:hAnsi="Calibri" w:cs="Calibri"/>
          <w:color w:val="auto"/>
          <w:sz w:val="20"/>
          <w:szCs w:val="20"/>
          <w:vertAlign w:val="superscript"/>
        </w:rPr>
        <w:footnoteReference w:id="7"/>
      </w:r>
      <w:r w:rsidRPr="00861634">
        <w:rPr>
          <w:rStyle w:val="None"/>
          <w:rFonts w:ascii="Calibri" w:eastAsia="Calibri" w:hAnsi="Calibri" w:cs="Calibri"/>
          <w:color w:val="auto"/>
          <w:sz w:val="20"/>
          <w:szCs w:val="20"/>
          <w:u w:color="FF0000"/>
        </w:rPr>
        <w:t>.</w:t>
      </w:r>
    </w:p>
    <w:p w:rsidR="00D75975" w:rsidRPr="00861634" w:rsidRDefault="004B4F83" w:rsidP="00861634">
      <w:pPr>
        <w:pStyle w:val="ListParagraph"/>
        <w:numPr>
          <w:ilvl w:val="0"/>
          <w:numId w:val="2"/>
        </w:numPr>
        <w:spacing w:after="120"/>
        <w:ind w:left="0" w:firstLine="0"/>
        <w:rPr>
          <w:rFonts w:ascii="Calibri" w:eastAsia="Calibri" w:hAnsi="Calibri" w:cs="Calibri"/>
          <w:i/>
          <w:iCs/>
          <w:color w:val="auto"/>
          <w:sz w:val="20"/>
          <w:szCs w:val="20"/>
        </w:rPr>
      </w:pPr>
      <w:r w:rsidRPr="00861634">
        <w:rPr>
          <w:rStyle w:val="None"/>
          <w:rFonts w:ascii="Calibri" w:eastAsia="Calibri" w:hAnsi="Calibri" w:cs="Calibri"/>
          <w:color w:val="auto"/>
          <w:sz w:val="20"/>
          <w:szCs w:val="20"/>
        </w:rPr>
        <w:t>China has adhered to the Millennium Goals and the Sustainable Development Goals which both have a clear gender footprint and targets. And the country’s main policy documents, the national Five-Year plans, have from the tenth Five-Year plan onwards had an increasing focus on gender. For instance, the thirteen Five-Year plan (2016-2020) includes the provision to “guarantee women’s equal rights and opportunities and access to education, employment and marital property; participate in social affairs; protect rural women’s land right and interests; and involve more women in decision-making and management”</w:t>
      </w:r>
      <w:r w:rsidRPr="00861634">
        <w:rPr>
          <w:rStyle w:val="None"/>
          <w:rFonts w:ascii="Calibri" w:eastAsia="Times New Roman" w:hAnsi="Calibri" w:cs="Calibri"/>
          <w:color w:val="auto"/>
          <w:sz w:val="20"/>
          <w:szCs w:val="20"/>
          <w:vertAlign w:val="superscript"/>
        </w:rPr>
        <w:footnoteReference w:id="8"/>
      </w:r>
      <w:r w:rsidRPr="00861634">
        <w:rPr>
          <w:rFonts w:ascii="Calibri" w:eastAsia="Calibri" w:hAnsi="Calibri" w:cs="Calibri"/>
          <w:i/>
          <w:iCs/>
          <w:color w:val="auto"/>
          <w:sz w:val="20"/>
          <w:szCs w:val="20"/>
        </w:rPr>
        <w:t xml:space="preserve">. </w:t>
      </w:r>
      <w:r w:rsidRPr="00861634">
        <w:rPr>
          <w:rStyle w:val="None"/>
          <w:rFonts w:ascii="Calibri" w:eastAsia="Calibri" w:hAnsi="Calibri" w:cs="Calibri"/>
          <w:color w:val="auto"/>
          <w:sz w:val="20"/>
          <w:szCs w:val="20"/>
        </w:rPr>
        <w:t>With the inclusion of gender equality into the report to the Eighteen National Congress of the Communist Party of China in 2012, it has become one of the basic state policies for social development in China</w:t>
      </w:r>
      <w:r w:rsidRPr="00861634">
        <w:rPr>
          <w:rStyle w:val="None"/>
          <w:rFonts w:ascii="Calibri" w:eastAsia="Times New Roman" w:hAnsi="Calibri" w:cs="Calibri"/>
          <w:color w:val="auto"/>
          <w:sz w:val="20"/>
          <w:szCs w:val="20"/>
          <w:vertAlign w:val="superscript"/>
        </w:rPr>
        <w:footnoteReference w:id="9"/>
      </w:r>
      <w:r w:rsidRPr="00861634">
        <w:rPr>
          <w:rStyle w:val="None"/>
          <w:rFonts w:ascii="Calibri" w:eastAsia="Calibri" w:hAnsi="Calibri" w:cs="Calibri"/>
          <w:color w:val="auto"/>
          <w:sz w:val="20"/>
          <w:szCs w:val="20"/>
        </w:rPr>
        <w:t xml:space="preserve">. </w:t>
      </w:r>
    </w:p>
    <w:p w:rsidR="00D75975" w:rsidRPr="00861634" w:rsidRDefault="00D75975" w:rsidP="00861634">
      <w:pPr>
        <w:pStyle w:val="Body"/>
        <w:spacing w:after="120"/>
        <w:rPr>
          <w:rFonts w:ascii="Calibri" w:eastAsia="Calibri" w:hAnsi="Calibri" w:cs="Calibri"/>
          <w:color w:val="auto"/>
          <w:sz w:val="20"/>
          <w:szCs w:val="20"/>
        </w:rPr>
      </w:pPr>
    </w:p>
    <w:p w:rsidR="00D75975" w:rsidRPr="00861634" w:rsidRDefault="004B4F83" w:rsidP="00861634">
      <w:pPr>
        <w:pStyle w:val="ListParagraph"/>
        <w:spacing w:after="120"/>
        <w:ind w:left="0"/>
        <w:rPr>
          <w:rStyle w:val="None"/>
          <w:rFonts w:ascii="Calibri" w:eastAsia="Calibri" w:hAnsi="Calibri" w:cs="Calibri"/>
          <w:b/>
          <w:bCs/>
          <w:color w:val="auto"/>
          <w:sz w:val="20"/>
          <w:szCs w:val="20"/>
        </w:rPr>
      </w:pPr>
      <w:r w:rsidRPr="00861634">
        <w:rPr>
          <w:rStyle w:val="None"/>
          <w:rFonts w:ascii="Calibri" w:eastAsia="Calibri" w:hAnsi="Calibri" w:cs="Calibri"/>
          <w:b/>
          <w:bCs/>
          <w:color w:val="auto"/>
          <w:sz w:val="20"/>
          <w:szCs w:val="20"/>
        </w:rPr>
        <w:t xml:space="preserve">Contribution to gender equality </w:t>
      </w:r>
    </w:p>
    <w:p w:rsidR="00D75975" w:rsidRPr="00861634" w:rsidRDefault="004B4F83" w:rsidP="00861634">
      <w:pPr>
        <w:pStyle w:val="ListParagraph"/>
        <w:numPr>
          <w:ilvl w:val="0"/>
          <w:numId w:val="2"/>
        </w:numPr>
        <w:spacing w:after="120"/>
        <w:ind w:left="0" w:firstLine="0"/>
        <w:rPr>
          <w:rFonts w:ascii="Calibri" w:eastAsia="Calibri" w:hAnsi="Calibri" w:cs="Calibri"/>
          <w:i/>
          <w:iCs/>
          <w:color w:val="auto"/>
          <w:sz w:val="20"/>
          <w:szCs w:val="20"/>
        </w:rPr>
      </w:pPr>
      <w:r w:rsidRPr="00861634">
        <w:rPr>
          <w:rStyle w:val="None"/>
          <w:rFonts w:ascii="Calibri" w:eastAsia="Calibri" w:hAnsi="Calibri" w:cs="Calibri"/>
          <w:color w:val="auto"/>
          <w:sz w:val="20"/>
          <w:szCs w:val="20"/>
        </w:rPr>
        <w:t>China’s efforts, over the last more than 20 years, have resulted in a noticeable progress towards mainstreaming of women and ensuring gender equality. Female illiteracy rate for women above the age of 15 decreased, with 17.4 percentage points, to 6.7 percent during the period from 1995 to 2013, and the average years of schooling for women increased by 1.3 years to 8.4 years between 2000 to 2010</w:t>
      </w:r>
      <w:r w:rsidRPr="00861634">
        <w:rPr>
          <w:rStyle w:val="None"/>
          <w:rFonts w:ascii="Calibri" w:eastAsia="Times New Roman" w:hAnsi="Calibri" w:cs="Calibri"/>
          <w:color w:val="auto"/>
          <w:sz w:val="20"/>
          <w:szCs w:val="20"/>
          <w:vertAlign w:val="superscript"/>
        </w:rPr>
        <w:footnoteReference w:id="10"/>
      </w:r>
      <w:r w:rsidRPr="00861634">
        <w:rPr>
          <w:rStyle w:val="None"/>
          <w:rFonts w:ascii="Calibri" w:eastAsia="Calibri" w:hAnsi="Calibri" w:cs="Calibri"/>
          <w:i/>
          <w:iCs/>
          <w:color w:val="auto"/>
          <w:sz w:val="20"/>
          <w:szCs w:val="20"/>
          <w:u w:color="FF0000"/>
        </w:rPr>
        <w:t>.</w:t>
      </w:r>
    </w:p>
    <w:p w:rsidR="00D75975" w:rsidRPr="00861634" w:rsidRDefault="004B4F83" w:rsidP="00861634">
      <w:pPr>
        <w:pStyle w:val="ListParagraph"/>
        <w:numPr>
          <w:ilvl w:val="0"/>
          <w:numId w:val="2"/>
        </w:numPr>
        <w:spacing w:after="120"/>
        <w:ind w:left="0" w:firstLine="0"/>
        <w:rPr>
          <w:rFonts w:ascii="Calibri" w:eastAsia="Calibri" w:hAnsi="Calibri" w:cs="Calibri"/>
          <w:i/>
          <w:iCs/>
          <w:color w:val="auto"/>
          <w:sz w:val="20"/>
          <w:szCs w:val="20"/>
        </w:rPr>
      </w:pPr>
      <w:r w:rsidRPr="00861634">
        <w:rPr>
          <w:rStyle w:val="None"/>
          <w:rFonts w:ascii="Calibri" w:eastAsia="Calibri" w:hAnsi="Calibri" w:cs="Calibri"/>
          <w:color w:val="auto"/>
          <w:sz w:val="20"/>
          <w:szCs w:val="20"/>
        </w:rPr>
        <w:t>Girls and young women have at a steady pace increased their enrollment levels in the Chinese educational system most notably by out numbering their male counterparts in the higher learning institutions where women account for 52.1 and 51.6 percent of undergraduate and post graduate students respectively</w:t>
      </w:r>
      <w:r w:rsidRPr="00861634">
        <w:rPr>
          <w:rStyle w:val="None"/>
          <w:rFonts w:ascii="Calibri" w:eastAsia="Times New Roman" w:hAnsi="Calibri" w:cs="Calibri"/>
          <w:color w:val="auto"/>
          <w:sz w:val="20"/>
          <w:szCs w:val="20"/>
          <w:vertAlign w:val="superscript"/>
        </w:rPr>
        <w:footnoteReference w:id="11"/>
      </w:r>
      <w:r w:rsidRPr="00861634">
        <w:rPr>
          <w:rStyle w:val="None"/>
          <w:rFonts w:ascii="Calibri" w:eastAsia="Calibri" w:hAnsi="Calibri" w:cs="Calibri"/>
          <w:color w:val="auto"/>
          <w:sz w:val="20"/>
          <w:szCs w:val="20"/>
        </w:rPr>
        <w:t>.</w:t>
      </w:r>
      <w:r w:rsidRPr="00861634">
        <w:rPr>
          <w:rStyle w:val="None"/>
          <w:rFonts w:ascii="Calibri" w:eastAsia="Calibri" w:hAnsi="Calibri" w:cs="Calibri"/>
          <w:color w:val="auto"/>
          <w:sz w:val="20"/>
          <w:szCs w:val="20"/>
          <w:u w:color="FF0000"/>
        </w:rPr>
        <w:t xml:space="preserve"> </w:t>
      </w:r>
      <w:r w:rsidRPr="00861634">
        <w:rPr>
          <w:rStyle w:val="None"/>
          <w:rFonts w:ascii="Calibri" w:eastAsia="Calibri" w:hAnsi="Calibri" w:cs="Calibri"/>
          <w:color w:val="auto"/>
          <w:sz w:val="20"/>
          <w:szCs w:val="20"/>
        </w:rPr>
        <w:t>Also, female students at technical secondary schools account for 53 percent of the student body</w:t>
      </w:r>
      <w:r w:rsidRPr="00861634">
        <w:rPr>
          <w:rStyle w:val="None"/>
          <w:rFonts w:ascii="Calibri" w:eastAsia="Times New Roman" w:hAnsi="Calibri" w:cs="Calibri"/>
          <w:color w:val="auto"/>
          <w:sz w:val="20"/>
          <w:szCs w:val="20"/>
          <w:vertAlign w:val="superscript"/>
        </w:rPr>
        <w:footnoteReference w:id="12"/>
      </w:r>
      <w:r w:rsidRPr="00861634">
        <w:rPr>
          <w:rStyle w:val="None"/>
          <w:rFonts w:ascii="Calibri" w:eastAsia="Calibri" w:hAnsi="Calibri" w:cs="Calibri"/>
          <w:color w:val="auto"/>
          <w:sz w:val="20"/>
          <w:szCs w:val="20"/>
        </w:rPr>
        <w:t>.</w:t>
      </w:r>
      <w:r w:rsidRPr="00861634">
        <w:rPr>
          <w:rFonts w:ascii="Calibri" w:eastAsia="Calibri" w:hAnsi="Calibri" w:cs="Calibri"/>
          <w:i/>
          <w:iCs/>
          <w:color w:val="auto"/>
          <w:sz w:val="20"/>
          <w:szCs w:val="20"/>
        </w:rPr>
        <w:t xml:space="preserve"> </w:t>
      </w:r>
    </w:p>
    <w:p w:rsidR="00D75975" w:rsidRPr="00861634" w:rsidRDefault="004B4F83" w:rsidP="00861634">
      <w:pPr>
        <w:pStyle w:val="ListParagraph"/>
        <w:numPr>
          <w:ilvl w:val="0"/>
          <w:numId w:val="2"/>
        </w:numPr>
        <w:spacing w:after="120"/>
        <w:ind w:left="0" w:firstLine="0"/>
        <w:rPr>
          <w:rFonts w:ascii="Calibri" w:eastAsia="Calibri" w:hAnsi="Calibri" w:cs="Calibri"/>
          <w:i/>
          <w:iCs/>
          <w:color w:val="auto"/>
          <w:sz w:val="20"/>
          <w:szCs w:val="20"/>
        </w:rPr>
      </w:pPr>
      <w:r w:rsidRPr="00861634">
        <w:rPr>
          <w:rStyle w:val="None"/>
          <w:rFonts w:ascii="Calibri" w:eastAsia="Calibri" w:hAnsi="Calibri" w:cs="Calibri"/>
          <w:color w:val="auto"/>
          <w:sz w:val="20"/>
          <w:szCs w:val="20"/>
        </w:rPr>
        <w:t>In the job market there has been a steady increase of women entering into the secondary and tertiary industries which has gone up from 14.1 to 19.3 and 17.0 to 27.5 percent respectively for the two sectors, and women taking up intermediate or senior level positions in 2013 was 44.1 percent – which is an increase of 9 percent compared to the year 2000</w:t>
      </w:r>
      <w:r w:rsidRPr="00861634">
        <w:rPr>
          <w:rStyle w:val="None"/>
          <w:rFonts w:ascii="Calibri" w:eastAsia="Times New Roman" w:hAnsi="Calibri" w:cs="Calibri"/>
          <w:color w:val="auto"/>
          <w:sz w:val="20"/>
          <w:szCs w:val="20"/>
          <w:vertAlign w:val="superscript"/>
        </w:rPr>
        <w:footnoteReference w:id="13"/>
      </w:r>
      <w:r w:rsidRPr="00861634">
        <w:rPr>
          <w:rStyle w:val="None"/>
          <w:rFonts w:ascii="Calibri" w:eastAsia="Calibri" w:hAnsi="Calibri" w:cs="Calibri"/>
          <w:color w:val="auto"/>
          <w:sz w:val="20"/>
          <w:szCs w:val="20"/>
        </w:rPr>
        <w:t>. The wage gap between genders is narrowing and in 2010 the wages for male and female clerks were almost the same. Women are being increasingly entrepreneurial and, for instance, 55 percent of all new internet businesses prior to 2015 were founded by women</w:t>
      </w:r>
      <w:r w:rsidRPr="00861634">
        <w:rPr>
          <w:rStyle w:val="None"/>
          <w:rFonts w:ascii="Calibri" w:eastAsia="Times New Roman" w:hAnsi="Calibri" w:cs="Calibri"/>
          <w:color w:val="auto"/>
          <w:sz w:val="20"/>
          <w:szCs w:val="20"/>
          <w:vertAlign w:val="superscript"/>
        </w:rPr>
        <w:footnoteReference w:id="14"/>
      </w:r>
      <w:r w:rsidRPr="00861634">
        <w:rPr>
          <w:rStyle w:val="None"/>
          <w:rFonts w:ascii="Calibri" w:eastAsia="Calibri" w:hAnsi="Calibri" w:cs="Calibri"/>
          <w:color w:val="auto"/>
          <w:sz w:val="20"/>
          <w:szCs w:val="20"/>
        </w:rPr>
        <w:t xml:space="preserve">. </w:t>
      </w:r>
    </w:p>
    <w:p w:rsidR="00D75975" w:rsidRPr="00861634" w:rsidRDefault="004B4F83" w:rsidP="00861634">
      <w:pPr>
        <w:pStyle w:val="ListParagraph"/>
        <w:numPr>
          <w:ilvl w:val="0"/>
          <w:numId w:val="2"/>
        </w:numPr>
        <w:spacing w:after="120"/>
        <w:ind w:left="0" w:firstLine="0"/>
        <w:rPr>
          <w:rFonts w:ascii="Calibri" w:eastAsia="Calibri" w:hAnsi="Calibri" w:cs="Calibri"/>
          <w:i/>
          <w:iCs/>
          <w:color w:val="auto"/>
          <w:sz w:val="20"/>
          <w:szCs w:val="20"/>
        </w:rPr>
      </w:pPr>
      <w:r w:rsidRPr="00861634">
        <w:rPr>
          <w:rStyle w:val="None"/>
          <w:rFonts w:ascii="Calibri" w:eastAsia="Calibri" w:hAnsi="Calibri" w:cs="Calibri"/>
          <w:color w:val="auto"/>
          <w:sz w:val="20"/>
          <w:szCs w:val="20"/>
        </w:rPr>
        <w:t>The program for the Development of Chinese Women (2011-2020) specifies that by the end of the program, more than 30 percent in the village committees should be women and that female committee heads should exceed 10 percent</w:t>
      </w:r>
      <w:r w:rsidRPr="00861634">
        <w:rPr>
          <w:rStyle w:val="None"/>
          <w:rFonts w:ascii="Calibri" w:eastAsia="Times New Roman" w:hAnsi="Calibri" w:cs="Calibri"/>
          <w:color w:val="auto"/>
          <w:sz w:val="20"/>
          <w:szCs w:val="20"/>
          <w:vertAlign w:val="superscript"/>
        </w:rPr>
        <w:footnoteReference w:id="15"/>
      </w:r>
      <w:r w:rsidRPr="00861634">
        <w:rPr>
          <w:rStyle w:val="None"/>
          <w:rFonts w:ascii="Calibri" w:eastAsia="Calibri" w:hAnsi="Calibri" w:cs="Calibri"/>
          <w:color w:val="auto"/>
          <w:sz w:val="20"/>
          <w:szCs w:val="20"/>
        </w:rPr>
        <w:t>. By 2013 women participation in village committees had increased with 7 percentage points, to 22.7 percent compared to year 2000, and 41.5 percent of neighborhood committees had female heads and an overall committee representation of 48.4 percent women</w:t>
      </w:r>
      <w:r w:rsidRPr="00861634">
        <w:rPr>
          <w:rStyle w:val="None"/>
          <w:rFonts w:ascii="Calibri" w:eastAsia="Times New Roman" w:hAnsi="Calibri" w:cs="Calibri"/>
          <w:color w:val="auto"/>
          <w:sz w:val="20"/>
          <w:szCs w:val="20"/>
          <w:vertAlign w:val="superscript"/>
        </w:rPr>
        <w:footnoteReference w:id="16"/>
      </w:r>
      <w:r w:rsidRPr="00861634">
        <w:rPr>
          <w:rStyle w:val="None"/>
          <w:rFonts w:ascii="Calibri" w:eastAsia="Calibri" w:hAnsi="Calibri" w:cs="Calibri"/>
          <w:color w:val="auto"/>
          <w:sz w:val="20"/>
          <w:szCs w:val="20"/>
        </w:rPr>
        <w:t xml:space="preserve">. </w:t>
      </w:r>
    </w:p>
    <w:p w:rsidR="00D75975" w:rsidRPr="00861634" w:rsidRDefault="00D75975" w:rsidP="00861634">
      <w:pPr>
        <w:pStyle w:val="Body"/>
        <w:spacing w:after="120"/>
        <w:rPr>
          <w:rFonts w:ascii="Calibri" w:eastAsia="Calibri" w:hAnsi="Calibri" w:cs="Calibri"/>
          <w:color w:val="auto"/>
          <w:sz w:val="20"/>
          <w:szCs w:val="20"/>
        </w:rPr>
      </w:pPr>
    </w:p>
    <w:p w:rsidR="00D75975" w:rsidRPr="00861634" w:rsidRDefault="004B4F83" w:rsidP="00861634">
      <w:pPr>
        <w:pStyle w:val="ListParagraph"/>
        <w:spacing w:after="120"/>
        <w:ind w:left="0"/>
        <w:rPr>
          <w:rStyle w:val="None"/>
          <w:rFonts w:ascii="Calibri" w:eastAsia="Calibri" w:hAnsi="Calibri" w:cs="Calibri"/>
          <w:b/>
          <w:bCs/>
          <w:color w:val="auto"/>
          <w:sz w:val="20"/>
          <w:szCs w:val="20"/>
        </w:rPr>
      </w:pPr>
      <w:r w:rsidRPr="00861634">
        <w:rPr>
          <w:rStyle w:val="None"/>
          <w:rFonts w:ascii="Calibri" w:eastAsia="Calibri" w:hAnsi="Calibri" w:cs="Calibri"/>
          <w:b/>
          <w:bCs/>
          <w:color w:val="auto"/>
          <w:sz w:val="20"/>
          <w:szCs w:val="20"/>
        </w:rPr>
        <w:t xml:space="preserve">Gender gaps still exist </w:t>
      </w:r>
    </w:p>
    <w:p w:rsidR="00D75975" w:rsidRPr="00861634" w:rsidRDefault="004B4F83" w:rsidP="00861634">
      <w:pPr>
        <w:pStyle w:val="ListParagraph"/>
        <w:numPr>
          <w:ilvl w:val="0"/>
          <w:numId w:val="2"/>
        </w:numPr>
        <w:spacing w:after="120"/>
        <w:ind w:left="0" w:firstLine="0"/>
        <w:rPr>
          <w:rFonts w:ascii="Calibri" w:eastAsia="Calibri" w:hAnsi="Calibri" w:cs="Calibri"/>
          <w:i/>
          <w:iCs/>
          <w:color w:val="auto"/>
          <w:sz w:val="20"/>
          <w:szCs w:val="20"/>
        </w:rPr>
      </w:pPr>
      <w:r w:rsidRPr="00861634">
        <w:rPr>
          <w:rStyle w:val="None"/>
          <w:rFonts w:ascii="Calibri" w:eastAsia="Calibri" w:hAnsi="Calibri" w:cs="Calibri"/>
          <w:color w:val="auto"/>
          <w:sz w:val="20"/>
          <w:szCs w:val="20"/>
        </w:rPr>
        <w:t>While China can pride itself of a constant progress towards a gender equal society, there is still gender inequality</w:t>
      </w:r>
      <w:r w:rsidRPr="00861634">
        <w:rPr>
          <w:rStyle w:val="None"/>
          <w:rFonts w:ascii="Calibri" w:eastAsia="Times New Roman" w:hAnsi="Calibri" w:cs="Calibri"/>
          <w:color w:val="auto"/>
          <w:sz w:val="20"/>
          <w:szCs w:val="20"/>
          <w:vertAlign w:val="superscript"/>
        </w:rPr>
        <w:footnoteReference w:id="17"/>
      </w:r>
      <w:r w:rsidRPr="00861634">
        <w:rPr>
          <w:rStyle w:val="None"/>
          <w:rFonts w:ascii="Calibri" w:eastAsia="Calibri" w:hAnsi="Calibri" w:cs="Calibri"/>
          <w:color w:val="auto"/>
          <w:sz w:val="20"/>
          <w:szCs w:val="20"/>
        </w:rPr>
        <w:t>, which places women at a disadvantage compared to men. In the area of employment, women in senior technical position in publicly owned entities are little over one third (35.4%)</w:t>
      </w:r>
      <w:r w:rsidRPr="00861634">
        <w:rPr>
          <w:rStyle w:val="None"/>
          <w:rFonts w:ascii="Calibri" w:eastAsia="Times New Roman" w:hAnsi="Calibri" w:cs="Calibri"/>
          <w:color w:val="auto"/>
          <w:sz w:val="20"/>
          <w:szCs w:val="20"/>
          <w:vertAlign w:val="superscript"/>
        </w:rPr>
        <w:footnoteReference w:id="18"/>
      </w:r>
      <w:r w:rsidRPr="00861634">
        <w:rPr>
          <w:rFonts w:ascii="Calibri" w:eastAsia="Calibri" w:hAnsi="Calibri" w:cs="Calibri"/>
          <w:i/>
          <w:iCs/>
          <w:color w:val="auto"/>
          <w:sz w:val="20"/>
          <w:szCs w:val="20"/>
        </w:rPr>
        <w:t xml:space="preserve">, </w:t>
      </w:r>
      <w:r w:rsidRPr="00861634">
        <w:rPr>
          <w:rStyle w:val="None"/>
          <w:rFonts w:ascii="Calibri" w:eastAsia="Calibri" w:hAnsi="Calibri" w:cs="Calibri"/>
          <w:color w:val="auto"/>
          <w:sz w:val="20"/>
          <w:szCs w:val="20"/>
        </w:rPr>
        <w:t>the primary industries, in 2010, accounted for 53.2 percent of all women jobs whereas it accounted for 44.4 of men’s</w:t>
      </w:r>
      <w:r w:rsidRPr="00861634">
        <w:rPr>
          <w:rStyle w:val="None"/>
          <w:rFonts w:ascii="Calibri" w:eastAsia="Times New Roman" w:hAnsi="Calibri" w:cs="Calibri"/>
          <w:color w:val="auto"/>
          <w:sz w:val="20"/>
          <w:szCs w:val="20"/>
          <w:vertAlign w:val="superscript"/>
        </w:rPr>
        <w:footnoteReference w:id="19"/>
      </w:r>
      <w:r w:rsidRPr="00861634">
        <w:rPr>
          <w:rStyle w:val="None"/>
          <w:rFonts w:ascii="Calibri" w:eastAsia="Calibri" w:hAnsi="Calibri" w:cs="Calibri"/>
          <w:color w:val="auto"/>
          <w:sz w:val="20"/>
          <w:szCs w:val="20"/>
        </w:rPr>
        <w:t>,</w:t>
      </w:r>
      <w:r w:rsidRPr="00861634">
        <w:rPr>
          <w:rFonts w:ascii="Calibri" w:eastAsia="Calibri" w:hAnsi="Calibri" w:cs="Calibri"/>
          <w:i/>
          <w:iCs/>
          <w:color w:val="auto"/>
          <w:sz w:val="20"/>
          <w:szCs w:val="20"/>
        </w:rPr>
        <w:t xml:space="preserve"> </w:t>
      </w:r>
      <w:r w:rsidRPr="00861634">
        <w:rPr>
          <w:rStyle w:val="None"/>
          <w:rFonts w:ascii="Calibri" w:eastAsia="Calibri" w:hAnsi="Calibri" w:cs="Calibri"/>
          <w:color w:val="auto"/>
          <w:sz w:val="20"/>
          <w:szCs w:val="20"/>
        </w:rPr>
        <w:t>thus,</w:t>
      </w:r>
      <w:r w:rsidRPr="00861634">
        <w:rPr>
          <w:rFonts w:ascii="Calibri" w:eastAsia="Calibri" w:hAnsi="Calibri" w:cs="Calibri"/>
          <w:i/>
          <w:iCs/>
          <w:color w:val="auto"/>
          <w:sz w:val="20"/>
          <w:szCs w:val="20"/>
        </w:rPr>
        <w:t xml:space="preserve"> </w:t>
      </w:r>
      <w:r w:rsidRPr="00861634">
        <w:rPr>
          <w:rStyle w:val="None"/>
          <w:rFonts w:ascii="Calibri" w:eastAsia="Calibri" w:hAnsi="Calibri" w:cs="Calibri"/>
          <w:color w:val="auto"/>
          <w:sz w:val="20"/>
          <w:szCs w:val="20"/>
        </w:rPr>
        <w:t>illustrating a distorted pattern in terms of jobs held by men and women. In addition, in the rural areas the primary industries (mainly agriculture) make up 65.7 percent of all women employed.</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Fonts w:ascii="Calibri" w:eastAsia="Calibri" w:hAnsi="Calibri" w:cs="Calibri"/>
          <w:color w:val="auto"/>
          <w:sz w:val="20"/>
          <w:szCs w:val="20"/>
        </w:rPr>
        <w:t>The White Paper on Gender Equality and Development in China prepared by the Chinese government in 2015 notes that in 2013 within the central government agencies the female employment had reached 47.8 percent. At the same time the paper noted that, in 2014, within the then Ministry of Environment Protection this figure was 31.2 percent</w:t>
      </w:r>
      <w:r w:rsidRPr="00861634">
        <w:rPr>
          <w:rStyle w:val="None"/>
          <w:rFonts w:ascii="Calibri" w:eastAsia="Times New Roman" w:hAnsi="Calibri" w:cs="Calibri"/>
          <w:color w:val="auto"/>
          <w:sz w:val="20"/>
          <w:szCs w:val="20"/>
          <w:vertAlign w:val="superscript"/>
        </w:rPr>
        <w:footnoteReference w:id="20"/>
      </w:r>
      <w:r w:rsidRPr="00861634">
        <w:rPr>
          <w:rFonts w:ascii="Calibri" w:eastAsia="Calibri" w:hAnsi="Calibri" w:cs="Calibri"/>
          <w:color w:val="auto"/>
          <w:sz w:val="20"/>
          <w:szCs w:val="20"/>
        </w:rPr>
        <w:t>, thus illustrating fluctuations between departments and ministries. Such fluctuations can also be found between same type of provincial and local departments, such as the service management departments of agriculture and forestry in Jiangsu and Qinghai provinces, which have a female employment rate of 29.9 and 42.1 percent respectively</w:t>
      </w:r>
      <w:r w:rsidRPr="00861634">
        <w:rPr>
          <w:rStyle w:val="None"/>
          <w:rFonts w:ascii="Calibri" w:eastAsia="Times New Roman" w:hAnsi="Calibri" w:cs="Calibri"/>
          <w:color w:val="auto"/>
          <w:sz w:val="20"/>
          <w:szCs w:val="20"/>
          <w:vertAlign w:val="superscript"/>
        </w:rPr>
        <w:footnoteReference w:id="21"/>
      </w:r>
      <w:r w:rsidRPr="00861634">
        <w:rPr>
          <w:rStyle w:val="None"/>
          <w:rFonts w:ascii="Calibri" w:eastAsia="Calibri" w:hAnsi="Calibri" w:cs="Calibri"/>
          <w:i/>
          <w:iCs/>
          <w:color w:val="auto"/>
          <w:sz w:val="20"/>
          <w:szCs w:val="20"/>
        </w:rPr>
        <w:t xml:space="preserve">. </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Fonts w:ascii="Calibri" w:eastAsia="Calibri" w:hAnsi="Calibri" w:cs="Calibri"/>
          <w:color w:val="auto"/>
          <w:sz w:val="20"/>
          <w:szCs w:val="20"/>
        </w:rPr>
        <w:t>As noted above, there is within China an imbalanced representation when one looks at men and women’s education levels and the positions they hold, where the education profile of men is higher than that of women</w:t>
      </w:r>
      <w:r w:rsidRPr="00861634">
        <w:rPr>
          <w:rStyle w:val="None"/>
          <w:rFonts w:ascii="Calibri" w:eastAsia="Times New Roman" w:hAnsi="Calibri" w:cs="Calibri"/>
          <w:color w:val="auto"/>
          <w:sz w:val="20"/>
          <w:szCs w:val="20"/>
          <w:vertAlign w:val="superscript"/>
        </w:rPr>
        <w:footnoteReference w:id="22"/>
      </w:r>
      <w:r w:rsidRPr="00861634">
        <w:rPr>
          <w:rFonts w:ascii="Calibri" w:eastAsia="Calibri" w:hAnsi="Calibri" w:cs="Calibri"/>
          <w:color w:val="auto"/>
          <w:sz w:val="20"/>
          <w:szCs w:val="20"/>
        </w:rPr>
        <w:t>. Although this to a larger extent is caused by the increase in women/girls with a junior high school education. In 2013 men with a junior high school degree (or less) accounted for 66.1 percent of all male employment, whereas this figure for women was 71.0 percent</w:t>
      </w:r>
      <w:r w:rsidRPr="00861634">
        <w:rPr>
          <w:rStyle w:val="None"/>
          <w:rFonts w:ascii="Calibri" w:eastAsia="Times New Roman" w:hAnsi="Calibri" w:cs="Calibri"/>
          <w:color w:val="auto"/>
          <w:sz w:val="20"/>
          <w:szCs w:val="20"/>
          <w:vertAlign w:val="superscript"/>
        </w:rPr>
        <w:footnoteReference w:id="23"/>
      </w:r>
      <w:r w:rsidRPr="00861634">
        <w:rPr>
          <w:rFonts w:ascii="Calibri" w:eastAsia="Calibri" w:hAnsi="Calibri" w:cs="Calibri"/>
          <w:color w:val="auto"/>
          <w:sz w:val="20"/>
          <w:szCs w:val="20"/>
        </w:rPr>
        <w:t>.</w:t>
      </w:r>
    </w:p>
    <w:p w:rsidR="00D75975" w:rsidRPr="00861634" w:rsidRDefault="004B4F83" w:rsidP="00861634">
      <w:pPr>
        <w:pStyle w:val="ListParagraph"/>
        <w:numPr>
          <w:ilvl w:val="0"/>
          <w:numId w:val="2"/>
        </w:numPr>
        <w:spacing w:after="120"/>
        <w:ind w:left="0" w:firstLine="0"/>
        <w:rPr>
          <w:rFonts w:ascii="Calibri" w:eastAsia="Calibri" w:hAnsi="Calibri" w:cs="Calibri"/>
          <w:i/>
          <w:iCs/>
          <w:color w:val="auto"/>
          <w:sz w:val="20"/>
          <w:szCs w:val="20"/>
        </w:rPr>
      </w:pPr>
      <w:r w:rsidRPr="00861634">
        <w:rPr>
          <w:rStyle w:val="None"/>
          <w:rFonts w:ascii="Calibri" w:eastAsia="Calibri" w:hAnsi="Calibri" w:cs="Calibri"/>
          <w:color w:val="auto"/>
          <w:sz w:val="20"/>
          <w:szCs w:val="20"/>
        </w:rPr>
        <w:t>There is also a differentiation between the type of jobs women and men with lower level education engage in. Women in many ways have jobs which could be seen as an extension of inherited gender roles, such as education, hospitality, healthcare, child care etc. or physically light jobs such as finance and services. Men on the other hand find jobs in, for instance, the construction, mining and transportation sectors</w:t>
      </w:r>
      <w:r w:rsidRPr="00861634">
        <w:rPr>
          <w:rStyle w:val="None"/>
          <w:rFonts w:ascii="Calibri" w:eastAsia="Times New Roman" w:hAnsi="Calibri" w:cs="Calibri"/>
          <w:color w:val="auto"/>
          <w:sz w:val="20"/>
          <w:szCs w:val="20"/>
          <w:vertAlign w:val="superscript"/>
        </w:rPr>
        <w:footnoteReference w:id="24"/>
      </w:r>
      <w:r w:rsidRPr="00861634">
        <w:rPr>
          <w:rStyle w:val="None"/>
          <w:rFonts w:ascii="Calibri" w:eastAsia="Calibri" w:hAnsi="Calibri" w:cs="Calibri"/>
          <w:color w:val="auto"/>
          <w:sz w:val="20"/>
          <w:szCs w:val="20"/>
        </w:rPr>
        <w:t>.</w:t>
      </w:r>
      <w:r w:rsidRPr="00861634">
        <w:rPr>
          <w:rStyle w:val="None"/>
          <w:rFonts w:ascii="Calibri" w:eastAsia="Calibri" w:hAnsi="Calibri" w:cs="Calibri"/>
          <w:i/>
          <w:iCs/>
          <w:color w:val="auto"/>
          <w:sz w:val="20"/>
          <w:szCs w:val="20"/>
          <w:u w:color="FF0000"/>
        </w:rPr>
        <w:t xml:space="preserve"> </w:t>
      </w:r>
      <w:r w:rsidRPr="00861634">
        <w:rPr>
          <w:rStyle w:val="None"/>
          <w:rFonts w:ascii="Calibri" w:eastAsia="Calibri" w:hAnsi="Calibri" w:cs="Calibri"/>
          <w:color w:val="auto"/>
          <w:sz w:val="20"/>
          <w:szCs w:val="20"/>
        </w:rPr>
        <w:t>While gender stereotyping might well play into this asymmetry in job distribution, women, as they also have gender biased family and child caring responsibilities, in many cases favor jobs, which are less demanding or where a certain amount of flexibility can be obtained</w:t>
      </w:r>
      <w:r w:rsidRPr="00861634">
        <w:rPr>
          <w:rStyle w:val="None"/>
          <w:rFonts w:ascii="Calibri" w:eastAsia="Times New Roman" w:hAnsi="Calibri" w:cs="Calibri"/>
          <w:color w:val="auto"/>
          <w:sz w:val="20"/>
          <w:szCs w:val="20"/>
          <w:vertAlign w:val="superscript"/>
        </w:rPr>
        <w:footnoteReference w:id="25"/>
      </w:r>
      <w:r w:rsidRPr="00861634">
        <w:rPr>
          <w:rStyle w:val="None"/>
          <w:rFonts w:ascii="Calibri" w:eastAsia="Calibri" w:hAnsi="Calibri" w:cs="Calibri"/>
          <w:color w:val="auto"/>
          <w:sz w:val="20"/>
          <w:szCs w:val="20"/>
        </w:rPr>
        <w:t xml:space="preserve">. </w:t>
      </w:r>
    </w:p>
    <w:p w:rsidR="00D75975" w:rsidRPr="00861634" w:rsidRDefault="004B4F83" w:rsidP="00861634">
      <w:pPr>
        <w:pStyle w:val="ListParagraph"/>
        <w:numPr>
          <w:ilvl w:val="0"/>
          <w:numId w:val="2"/>
        </w:numPr>
        <w:spacing w:after="120"/>
        <w:ind w:left="0" w:firstLine="0"/>
        <w:rPr>
          <w:rFonts w:ascii="Calibri" w:eastAsia="Calibri" w:hAnsi="Calibri" w:cs="Calibri"/>
          <w:i/>
          <w:iCs/>
          <w:color w:val="auto"/>
          <w:sz w:val="20"/>
          <w:szCs w:val="20"/>
        </w:rPr>
      </w:pPr>
      <w:r w:rsidRPr="00861634">
        <w:rPr>
          <w:rStyle w:val="None"/>
          <w:rFonts w:ascii="Calibri" w:eastAsia="Calibri" w:hAnsi="Calibri" w:cs="Calibri"/>
          <w:color w:val="auto"/>
          <w:sz w:val="20"/>
          <w:szCs w:val="20"/>
        </w:rPr>
        <w:t>Regardless of reasons and biases, in 2010, men held 75.6 percent of all high income jobs and women held only 39.2 of all upper- middle income jobs. In contract, women held 65.7 percent of all low income jobs</w:t>
      </w:r>
      <w:r w:rsidRPr="00861634">
        <w:rPr>
          <w:rStyle w:val="None"/>
          <w:rFonts w:ascii="Calibri" w:eastAsia="Times New Roman" w:hAnsi="Calibri" w:cs="Calibri"/>
          <w:color w:val="auto"/>
          <w:sz w:val="20"/>
          <w:szCs w:val="20"/>
          <w:vertAlign w:val="superscript"/>
        </w:rPr>
        <w:footnoteReference w:id="26"/>
      </w:r>
      <w:r w:rsidRPr="00861634">
        <w:rPr>
          <w:rFonts w:ascii="Calibri" w:eastAsia="Calibri" w:hAnsi="Calibri" w:cs="Calibri"/>
          <w:i/>
          <w:iCs/>
          <w:color w:val="auto"/>
          <w:sz w:val="20"/>
          <w:szCs w:val="20"/>
        </w:rPr>
        <w:t>.</w:t>
      </w:r>
      <w:r w:rsidRPr="00861634">
        <w:rPr>
          <w:rStyle w:val="None"/>
          <w:rFonts w:ascii="Calibri" w:eastAsia="Calibri" w:hAnsi="Calibri" w:cs="Calibri"/>
          <w:color w:val="auto"/>
          <w:sz w:val="20"/>
          <w:szCs w:val="20"/>
        </w:rPr>
        <w:t xml:space="preserve"> This translates into that approximately 58% of women earn less than 10,000 yuan per year (37 % for men)</w:t>
      </w:r>
      <w:r w:rsidRPr="00861634">
        <w:rPr>
          <w:rStyle w:val="None"/>
          <w:rFonts w:ascii="Calibri" w:eastAsia="Times New Roman" w:hAnsi="Calibri" w:cs="Calibri"/>
          <w:color w:val="auto"/>
          <w:sz w:val="20"/>
          <w:szCs w:val="20"/>
          <w:vertAlign w:val="superscript"/>
        </w:rPr>
        <w:footnoteReference w:id="27"/>
      </w:r>
      <w:r w:rsidRPr="00861634">
        <w:rPr>
          <w:rFonts w:ascii="Calibri" w:eastAsia="Calibri" w:hAnsi="Calibri" w:cs="Calibri"/>
          <w:i/>
          <w:iCs/>
          <w:color w:val="auto"/>
          <w:sz w:val="20"/>
          <w:szCs w:val="20"/>
        </w:rPr>
        <w:t xml:space="preserve">, </w:t>
      </w:r>
      <w:r w:rsidRPr="00861634">
        <w:rPr>
          <w:rStyle w:val="None"/>
          <w:rFonts w:ascii="Calibri" w:eastAsia="Calibri" w:hAnsi="Calibri" w:cs="Calibri"/>
          <w:color w:val="auto"/>
          <w:sz w:val="20"/>
          <w:szCs w:val="20"/>
        </w:rPr>
        <w:t>and women’s income in rural areas was, in 2010, 56.0 percent of their male counterparts</w:t>
      </w:r>
      <w:r w:rsidRPr="00861634">
        <w:rPr>
          <w:rStyle w:val="None"/>
          <w:rFonts w:ascii="Calibri" w:eastAsia="Times New Roman" w:hAnsi="Calibri" w:cs="Calibri"/>
          <w:color w:val="auto"/>
          <w:sz w:val="20"/>
          <w:szCs w:val="20"/>
          <w:vertAlign w:val="superscript"/>
        </w:rPr>
        <w:footnoteReference w:id="28"/>
      </w:r>
      <w:r w:rsidRPr="00861634">
        <w:rPr>
          <w:rStyle w:val="None"/>
          <w:rFonts w:ascii="Calibri" w:eastAsia="Calibri" w:hAnsi="Calibri" w:cs="Calibri"/>
          <w:color w:val="auto"/>
          <w:sz w:val="20"/>
          <w:szCs w:val="20"/>
        </w:rPr>
        <w:t>.</w:t>
      </w:r>
    </w:p>
    <w:p w:rsidR="00D75975" w:rsidRPr="00861634" w:rsidRDefault="004B4F83" w:rsidP="00861634">
      <w:pPr>
        <w:pStyle w:val="ListParagraph"/>
        <w:numPr>
          <w:ilvl w:val="0"/>
          <w:numId w:val="2"/>
        </w:numPr>
        <w:spacing w:after="120"/>
        <w:ind w:left="0" w:firstLine="0"/>
        <w:rPr>
          <w:rFonts w:ascii="Calibri" w:eastAsia="Calibri" w:hAnsi="Calibri" w:cs="Calibri"/>
          <w:i/>
          <w:iCs/>
          <w:color w:val="auto"/>
          <w:sz w:val="20"/>
          <w:szCs w:val="20"/>
        </w:rPr>
      </w:pPr>
      <w:r w:rsidRPr="00861634">
        <w:rPr>
          <w:rStyle w:val="None"/>
          <w:rFonts w:ascii="Calibri" w:eastAsia="Calibri" w:hAnsi="Calibri" w:cs="Calibri"/>
          <w:color w:val="auto"/>
          <w:sz w:val="20"/>
          <w:szCs w:val="20"/>
        </w:rPr>
        <w:t>Four main factors can be seen to influence the wage differences, where the level of education is the most significant. The place of origin is also a main contributor to wage difference, as is work experience. Gender is also a contributing factor, but only to a lesser degree (7%)</w:t>
      </w:r>
      <w:r w:rsidRPr="00861634">
        <w:rPr>
          <w:rStyle w:val="None"/>
          <w:rFonts w:ascii="Calibri" w:eastAsia="Times New Roman" w:hAnsi="Calibri" w:cs="Calibri"/>
          <w:color w:val="auto"/>
          <w:sz w:val="20"/>
          <w:szCs w:val="20"/>
          <w:vertAlign w:val="superscript"/>
        </w:rPr>
        <w:footnoteReference w:id="29"/>
      </w:r>
      <w:r w:rsidRPr="00861634">
        <w:rPr>
          <w:rStyle w:val="None"/>
          <w:rFonts w:ascii="Calibri" w:eastAsia="Calibri" w:hAnsi="Calibri" w:cs="Calibri"/>
          <w:i/>
          <w:iCs/>
          <w:color w:val="auto"/>
          <w:sz w:val="20"/>
          <w:szCs w:val="20"/>
          <w:u w:color="FF0000"/>
        </w:rPr>
        <w:t xml:space="preserve">. </w:t>
      </w:r>
      <w:r w:rsidRPr="00861634">
        <w:rPr>
          <w:rStyle w:val="None"/>
          <w:rFonts w:ascii="Calibri" w:eastAsia="Calibri" w:hAnsi="Calibri" w:cs="Calibri"/>
          <w:color w:val="auto"/>
          <w:sz w:val="20"/>
          <w:szCs w:val="20"/>
        </w:rPr>
        <w:t>Also, the pay and conditions can differ for workers with the same human capital characteristics, depending on the sector the job is offered</w:t>
      </w:r>
      <w:r w:rsidRPr="00861634">
        <w:rPr>
          <w:rStyle w:val="None"/>
          <w:rFonts w:ascii="Calibri" w:eastAsia="Times New Roman" w:hAnsi="Calibri" w:cs="Calibri"/>
          <w:color w:val="auto"/>
          <w:sz w:val="20"/>
          <w:szCs w:val="20"/>
          <w:vertAlign w:val="superscript"/>
        </w:rPr>
        <w:footnoteReference w:id="30"/>
      </w:r>
      <w:r w:rsidRPr="00861634">
        <w:rPr>
          <w:rStyle w:val="None"/>
          <w:rFonts w:ascii="Calibri" w:eastAsia="Calibri" w:hAnsi="Calibri" w:cs="Calibri"/>
          <w:i/>
          <w:iCs/>
          <w:color w:val="auto"/>
          <w:sz w:val="20"/>
          <w:szCs w:val="20"/>
          <w:u w:color="FF0000"/>
        </w:rPr>
        <w:t xml:space="preserve">. </w:t>
      </w:r>
    </w:p>
    <w:p w:rsidR="00D75975" w:rsidRPr="00861634" w:rsidRDefault="004B4F83" w:rsidP="00861634">
      <w:pPr>
        <w:pStyle w:val="ListParagraph"/>
        <w:numPr>
          <w:ilvl w:val="0"/>
          <w:numId w:val="2"/>
        </w:numPr>
        <w:spacing w:after="120"/>
        <w:ind w:left="0" w:firstLine="0"/>
        <w:rPr>
          <w:rFonts w:ascii="Calibri" w:eastAsia="Calibri" w:hAnsi="Calibri" w:cs="Calibri"/>
          <w:i/>
          <w:iCs/>
          <w:color w:val="auto"/>
          <w:sz w:val="20"/>
          <w:szCs w:val="20"/>
        </w:rPr>
      </w:pPr>
      <w:r w:rsidRPr="00861634">
        <w:rPr>
          <w:rStyle w:val="None"/>
          <w:rFonts w:ascii="Calibri" w:eastAsia="Calibri" w:hAnsi="Calibri" w:cs="Calibri"/>
          <w:color w:val="auto"/>
          <w:sz w:val="20"/>
          <w:szCs w:val="20"/>
        </w:rPr>
        <w:t>Although the White Paper Gender Equality and Development in China notes that 55 of all internet businesses are started by women, it also demonstrates that three quarters of all entrepreneurs in China are men. It however, also states that the number of women entrepreneurs is constantly rising, in part through the introduction of small-sum guaranteed loans and financial discounts, where since 2009 more than 222 billion yuan have been provided to women entrepreneurs</w:t>
      </w:r>
      <w:r w:rsidRPr="00861634">
        <w:rPr>
          <w:rStyle w:val="None"/>
          <w:rFonts w:ascii="Calibri" w:eastAsia="Times New Roman" w:hAnsi="Calibri" w:cs="Calibri"/>
          <w:color w:val="auto"/>
          <w:sz w:val="20"/>
          <w:szCs w:val="20"/>
          <w:vertAlign w:val="superscript"/>
        </w:rPr>
        <w:footnoteReference w:id="31"/>
      </w:r>
      <w:r w:rsidRPr="00861634">
        <w:rPr>
          <w:rStyle w:val="None"/>
          <w:rFonts w:ascii="Calibri" w:eastAsia="Calibri" w:hAnsi="Calibri" w:cs="Calibri"/>
          <w:i/>
          <w:iCs/>
          <w:color w:val="auto"/>
          <w:sz w:val="20"/>
          <w:szCs w:val="20"/>
          <w:u w:color="FF0000"/>
        </w:rPr>
        <w:t xml:space="preserve">. </w:t>
      </w:r>
      <w:r w:rsidRPr="00861634">
        <w:rPr>
          <w:rStyle w:val="None"/>
          <w:rFonts w:ascii="Calibri" w:eastAsia="Calibri" w:hAnsi="Calibri" w:cs="Calibri"/>
          <w:color w:val="auto"/>
          <w:sz w:val="20"/>
          <w:szCs w:val="20"/>
        </w:rPr>
        <w:t>One reason for the larger proportion of male entrepreneurs can perhaps be found in that many new startups are small and family oriented in nature that draws on intra family working-sharing resources, where wives and other family members work together in the family business (set up by the head of the household which is traditionally male)</w:t>
      </w:r>
      <w:r w:rsidRPr="00861634">
        <w:rPr>
          <w:rStyle w:val="None"/>
          <w:rFonts w:ascii="Calibri" w:eastAsia="Times New Roman" w:hAnsi="Calibri" w:cs="Calibri"/>
          <w:color w:val="auto"/>
          <w:sz w:val="20"/>
          <w:szCs w:val="20"/>
          <w:vertAlign w:val="superscript"/>
        </w:rPr>
        <w:footnoteReference w:id="32"/>
      </w:r>
      <w:r w:rsidRPr="00861634">
        <w:rPr>
          <w:rStyle w:val="None"/>
          <w:rFonts w:ascii="Calibri" w:eastAsia="Calibri" w:hAnsi="Calibri" w:cs="Calibri"/>
          <w:i/>
          <w:iCs/>
          <w:color w:val="auto"/>
          <w:sz w:val="20"/>
          <w:szCs w:val="20"/>
          <w:u w:color="FF0000"/>
        </w:rPr>
        <w:t xml:space="preserve">. </w:t>
      </w:r>
      <w:r w:rsidRPr="00861634">
        <w:rPr>
          <w:rStyle w:val="None"/>
          <w:rFonts w:ascii="Calibri" w:eastAsia="Calibri" w:hAnsi="Calibri" w:cs="Calibri"/>
          <w:color w:val="auto"/>
          <w:sz w:val="20"/>
          <w:szCs w:val="20"/>
        </w:rPr>
        <w:t>Another reason, which factors into this, is, particularly in rural areas, that women with adequate loan qualifications are far less than men</w:t>
      </w:r>
      <w:r w:rsidRPr="00861634">
        <w:rPr>
          <w:rStyle w:val="None"/>
          <w:rFonts w:ascii="Calibri" w:eastAsia="Times New Roman" w:hAnsi="Calibri" w:cs="Calibri"/>
          <w:color w:val="auto"/>
          <w:sz w:val="20"/>
          <w:szCs w:val="20"/>
          <w:vertAlign w:val="superscript"/>
        </w:rPr>
        <w:footnoteReference w:id="33"/>
      </w:r>
      <w:r w:rsidRPr="00861634">
        <w:rPr>
          <w:rStyle w:val="None"/>
          <w:rFonts w:ascii="Calibri" w:eastAsia="Calibri" w:hAnsi="Calibri" w:cs="Calibri"/>
          <w:color w:val="auto"/>
          <w:sz w:val="20"/>
          <w:szCs w:val="20"/>
        </w:rPr>
        <w:t xml:space="preserve">. </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Fonts w:ascii="Calibri" w:eastAsia="Calibri" w:hAnsi="Calibri" w:cs="Calibri"/>
          <w:color w:val="auto"/>
          <w:sz w:val="20"/>
          <w:szCs w:val="20"/>
        </w:rPr>
        <w:t>Although women in village committees are on the rise and are planned to be at least 30 percent by 2020, these committees are predominantly male, bringing less voice to women’s concerns and issues. The fact that there is a little more than one fifth female representation in the village committees is somewhat puzzling as women’s participation in neighborhood committees is on equal footing to that of men. In addition, in the rural areas where 70 percent of the inhabitants are women</w:t>
      </w:r>
      <w:r w:rsidRPr="00861634">
        <w:rPr>
          <w:rStyle w:val="None"/>
          <w:rFonts w:ascii="Calibri" w:eastAsia="Times New Roman" w:hAnsi="Calibri" w:cs="Calibri"/>
          <w:color w:val="auto"/>
          <w:sz w:val="20"/>
          <w:szCs w:val="20"/>
          <w:vertAlign w:val="superscript"/>
        </w:rPr>
        <w:footnoteReference w:id="34"/>
      </w:r>
      <w:r w:rsidRPr="00861634">
        <w:rPr>
          <w:rFonts w:ascii="Calibri" w:eastAsia="Calibri" w:hAnsi="Calibri" w:cs="Calibri"/>
          <w:color w:val="auto"/>
          <w:sz w:val="20"/>
          <w:szCs w:val="20"/>
        </w:rPr>
        <w:t>, the women seem to fall victim to traditional gender bias perceptions, where the husband or oldest male family member is the household’s spokes-person</w:t>
      </w:r>
      <w:r w:rsidRPr="00861634">
        <w:rPr>
          <w:rStyle w:val="None"/>
          <w:rFonts w:ascii="Calibri" w:eastAsia="Times New Roman" w:hAnsi="Calibri" w:cs="Calibri"/>
          <w:color w:val="auto"/>
          <w:sz w:val="20"/>
          <w:szCs w:val="20"/>
          <w:vertAlign w:val="superscript"/>
        </w:rPr>
        <w:footnoteReference w:id="35"/>
      </w:r>
      <w:r w:rsidRPr="00861634">
        <w:rPr>
          <w:rFonts w:ascii="Calibri" w:eastAsia="Calibri" w:hAnsi="Calibri" w:cs="Calibri"/>
          <w:color w:val="auto"/>
          <w:sz w:val="20"/>
          <w:szCs w:val="20"/>
        </w:rPr>
        <w:t xml:space="preserve">. </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Fonts w:ascii="Calibri" w:eastAsia="Calibri" w:hAnsi="Calibri" w:cs="Calibri"/>
          <w:color w:val="auto"/>
          <w:sz w:val="20"/>
          <w:szCs w:val="20"/>
        </w:rPr>
        <w:t>Another, perhaps gender related bias is that once women participate in village committee meetings they, compared to their male counterparts, are content merely to listen and thus refrain from actively engaging. That said, male active engagement is also low, which seems to indicate that village committee meetings are not as much forums for debate and community engagement</w:t>
      </w:r>
      <w:r w:rsidRPr="00861634">
        <w:rPr>
          <w:rStyle w:val="None"/>
          <w:rFonts w:ascii="Calibri" w:eastAsia="Times New Roman" w:hAnsi="Calibri" w:cs="Calibri"/>
          <w:color w:val="auto"/>
          <w:sz w:val="20"/>
          <w:szCs w:val="20"/>
          <w:vertAlign w:val="superscript"/>
        </w:rPr>
        <w:footnoteReference w:id="36"/>
      </w:r>
      <w:r w:rsidRPr="00861634">
        <w:rPr>
          <w:rFonts w:ascii="Calibri" w:eastAsia="Calibri" w:hAnsi="Calibri" w:cs="Calibri"/>
          <w:color w:val="auto"/>
          <w:sz w:val="20"/>
          <w:szCs w:val="20"/>
        </w:rPr>
        <w:t xml:space="preserve">, but rather a place to be informed about current and new initiatives affecting the village.     </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Fonts w:ascii="Calibri" w:eastAsia="Calibri" w:hAnsi="Calibri" w:cs="Calibri"/>
          <w:color w:val="auto"/>
          <w:sz w:val="20"/>
          <w:szCs w:val="20"/>
        </w:rPr>
        <w:t>Although not as marked, low level of female representation has also been reported for participation in, for instance, climate change and disaster trainings in selected provinces in China, where women’s participation constitutes one third of the people being occasionally trained, and approximately two fifth of the people receiving training often. In reverse, approximately two thirds of the people who had never received any training were women</w:t>
      </w:r>
      <w:r w:rsidRPr="00861634">
        <w:rPr>
          <w:rStyle w:val="None"/>
          <w:rFonts w:ascii="Calibri" w:eastAsia="Times New Roman" w:hAnsi="Calibri" w:cs="Calibri"/>
          <w:color w:val="auto"/>
          <w:sz w:val="20"/>
          <w:szCs w:val="20"/>
          <w:vertAlign w:val="superscript"/>
        </w:rPr>
        <w:footnoteReference w:id="37"/>
      </w:r>
      <w:r w:rsidRPr="00861634">
        <w:rPr>
          <w:rFonts w:ascii="Calibri" w:eastAsia="Calibri" w:hAnsi="Calibri" w:cs="Calibri"/>
          <w:color w:val="auto"/>
          <w:sz w:val="20"/>
          <w:szCs w:val="20"/>
        </w:rPr>
        <w:t>.</w:t>
      </w:r>
      <w:r w:rsidRPr="00861634">
        <w:rPr>
          <w:rStyle w:val="None"/>
          <w:rFonts w:ascii="Calibri" w:eastAsia="Calibri" w:hAnsi="Calibri" w:cs="Calibri"/>
          <w:i/>
          <w:iCs/>
          <w:color w:val="auto"/>
          <w:sz w:val="20"/>
          <w:szCs w:val="20"/>
          <w:u w:color="FF0000"/>
        </w:rPr>
        <w:t xml:space="preserve"> </w:t>
      </w:r>
      <w:r w:rsidRPr="00861634">
        <w:rPr>
          <w:rFonts w:ascii="Calibri" w:eastAsia="Calibri" w:hAnsi="Calibri" w:cs="Calibri"/>
          <w:color w:val="auto"/>
          <w:sz w:val="20"/>
          <w:szCs w:val="20"/>
        </w:rPr>
        <w:t>Equally interesting however, is that of the people who were invited to the training approximately one fifth, both male and female, chose not to attend the trainings citing unspecified unwillingness and family opposition, but also to a lesser degree looking after family</w:t>
      </w:r>
      <w:r w:rsidRPr="00861634">
        <w:rPr>
          <w:rStyle w:val="None"/>
          <w:rFonts w:ascii="Calibri" w:eastAsia="Times New Roman" w:hAnsi="Calibri" w:cs="Calibri"/>
          <w:color w:val="auto"/>
          <w:sz w:val="20"/>
          <w:szCs w:val="20"/>
          <w:vertAlign w:val="superscript"/>
        </w:rPr>
        <w:footnoteReference w:id="38"/>
      </w:r>
      <w:r w:rsidRPr="00861634">
        <w:rPr>
          <w:rFonts w:ascii="Calibri" w:eastAsia="Calibri" w:hAnsi="Calibri" w:cs="Calibri"/>
          <w:color w:val="auto"/>
          <w:sz w:val="20"/>
          <w:szCs w:val="20"/>
        </w:rPr>
        <w:t>.</w:t>
      </w:r>
      <w:r w:rsidRPr="00861634">
        <w:rPr>
          <w:rStyle w:val="None"/>
          <w:rFonts w:ascii="Calibri" w:eastAsia="Calibri" w:hAnsi="Calibri" w:cs="Calibri"/>
          <w:color w:val="auto"/>
          <w:sz w:val="20"/>
          <w:szCs w:val="20"/>
          <w:u w:color="FF0000"/>
        </w:rPr>
        <w:t xml:space="preserve"> </w:t>
      </w:r>
      <w:r w:rsidRPr="00861634">
        <w:rPr>
          <w:rFonts w:ascii="Calibri" w:eastAsia="Calibri" w:hAnsi="Calibri" w:cs="Calibri"/>
          <w:color w:val="auto"/>
          <w:sz w:val="20"/>
          <w:szCs w:val="20"/>
        </w:rPr>
        <w:t>Most importantly though is that approximately three quarters of the survey respondents (men and women alike) listed no training, not informed and no chance as the predominate reason for not getting trained</w:t>
      </w:r>
      <w:r w:rsidRPr="00861634">
        <w:rPr>
          <w:rStyle w:val="None"/>
          <w:rFonts w:ascii="Calibri" w:eastAsia="Times New Roman" w:hAnsi="Calibri" w:cs="Calibri"/>
          <w:color w:val="auto"/>
          <w:sz w:val="20"/>
          <w:szCs w:val="20"/>
          <w:vertAlign w:val="superscript"/>
        </w:rPr>
        <w:footnoteReference w:id="39"/>
      </w:r>
      <w:r w:rsidRPr="00861634">
        <w:rPr>
          <w:rFonts w:ascii="Calibri" w:eastAsia="Calibri" w:hAnsi="Calibri" w:cs="Calibri"/>
          <w:color w:val="auto"/>
          <w:sz w:val="20"/>
          <w:szCs w:val="20"/>
        </w:rPr>
        <w:t xml:space="preserve">. </w:t>
      </w:r>
    </w:p>
    <w:p w:rsidR="00D75975" w:rsidRPr="00861634" w:rsidRDefault="004B4F83" w:rsidP="00861634">
      <w:pPr>
        <w:pStyle w:val="ListParagraph"/>
        <w:numPr>
          <w:ilvl w:val="0"/>
          <w:numId w:val="2"/>
        </w:numPr>
        <w:spacing w:after="120"/>
        <w:ind w:left="0" w:firstLine="0"/>
        <w:rPr>
          <w:rFonts w:ascii="Calibri" w:eastAsia="Calibri" w:hAnsi="Calibri" w:cs="Calibri"/>
          <w:i/>
          <w:iCs/>
          <w:color w:val="auto"/>
          <w:sz w:val="20"/>
          <w:szCs w:val="20"/>
        </w:rPr>
      </w:pPr>
      <w:r w:rsidRPr="00861634">
        <w:rPr>
          <w:rStyle w:val="None"/>
          <w:rFonts w:ascii="Calibri" w:eastAsia="Calibri" w:hAnsi="Calibri" w:cs="Calibri"/>
          <w:color w:val="auto"/>
          <w:sz w:val="20"/>
          <w:szCs w:val="20"/>
        </w:rPr>
        <w:t>Going back, China, as most other places, is not immune to having and displaying cultural and traditional gender bias mainly directed towards women. This can be illustrated by respondents of government officials working in male dominated sectors when asked why fewer women is engaged in the sector: “</w:t>
      </w:r>
      <w:r w:rsidRPr="00861634">
        <w:rPr>
          <w:rFonts w:ascii="Calibri" w:eastAsia="Calibri" w:hAnsi="Calibri" w:cs="Calibri"/>
          <w:i/>
          <w:iCs/>
          <w:color w:val="auto"/>
          <w:sz w:val="20"/>
          <w:szCs w:val="20"/>
        </w:rPr>
        <w:t>1) public toilets are lacking in the fieldwork which is less convenient for women than for men; 2) it is more difficult for women to work outside during a flood situation or when it is down pouring; 3) it is considered “brutal “ to ask a woman to inspect a slaughter in a rural area alone in the early morning and face a bloody and dirty situation; 4) it is particularly dusty when operating large machines and thus it is regarded “not considerate” to ask women to perform such task; 5) women are perceived as weaker at driving and at some other technical operations</w:t>
      </w:r>
      <w:r w:rsidRPr="00861634">
        <w:rPr>
          <w:rStyle w:val="None"/>
          <w:rFonts w:ascii="Calibri" w:eastAsia="Calibri" w:hAnsi="Calibri" w:cs="Calibri"/>
          <w:color w:val="auto"/>
          <w:sz w:val="20"/>
          <w:szCs w:val="20"/>
        </w:rPr>
        <w:t>”</w:t>
      </w:r>
      <w:r w:rsidRPr="00861634">
        <w:rPr>
          <w:rStyle w:val="None"/>
          <w:rFonts w:ascii="Calibri" w:eastAsia="Times New Roman" w:hAnsi="Calibri" w:cs="Calibri"/>
          <w:color w:val="auto"/>
          <w:sz w:val="20"/>
          <w:szCs w:val="20"/>
          <w:vertAlign w:val="superscript"/>
        </w:rPr>
        <w:footnoteReference w:id="40"/>
      </w:r>
      <w:r w:rsidRPr="00861634">
        <w:rPr>
          <w:rStyle w:val="None"/>
          <w:rFonts w:ascii="Calibri" w:eastAsia="Calibri" w:hAnsi="Calibri" w:cs="Calibri"/>
          <w:color w:val="auto"/>
          <w:sz w:val="20"/>
          <w:szCs w:val="20"/>
        </w:rPr>
        <w:t xml:space="preserve">. </w:t>
      </w:r>
    </w:p>
    <w:p w:rsidR="00D75975" w:rsidRPr="00861634" w:rsidRDefault="004B4F83" w:rsidP="00861634">
      <w:pPr>
        <w:pStyle w:val="ListParagraph"/>
        <w:numPr>
          <w:ilvl w:val="0"/>
          <w:numId w:val="2"/>
        </w:numPr>
        <w:spacing w:after="120"/>
        <w:ind w:left="0" w:firstLine="0"/>
        <w:rPr>
          <w:rFonts w:ascii="Calibri" w:eastAsia="Calibri" w:hAnsi="Calibri" w:cs="Calibri"/>
          <w:i/>
          <w:iCs/>
          <w:color w:val="auto"/>
          <w:sz w:val="20"/>
          <w:szCs w:val="20"/>
        </w:rPr>
      </w:pPr>
      <w:r w:rsidRPr="00861634">
        <w:rPr>
          <w:rStyle w:val="None"/>
          <w:rFonts w:ascii="Calibri" w:eastAsia="Calibri" w:hAnsi="Calibri" w:cs="Calibri"/>
          <w:color w:val="auto"/>
          <w:sz w:val="20"/>
          <w:szCs w:val="20"/>
        </w:rPr>
        <w:t>In a similar way, responses to why there is a smaller number of women in the leadership positions underline a negative bias towards women when noting that: 1) women shoulder heavier household responsibilities than men (67.5%); 2) the effort in training and promoting of women cadres was not enough (60.5%); 3) social bias were still holding women back (57.6%); 4) lack of family support (26.8%); 5) less capable than men (16.2%); 6) not willing to be a leader (12.2%) and 7) not suitable to be a leader (11.0%</w:t>
      </w:r>
      <w:r w:rsidRPr="00861634">
        <w:rPr>
          <w:rFonts w:ascii="Calibri" w:eastAsia="Calibri" w:hAnsi="Calibri" w:cs="Calibri"/>
          <w:i/>
          <w:iCs/>
          <w:color w:val="auto"/>
          <w:sz w:val="20"/>
          <w:szCs w:val="20"/>
        </w:rPr>
        <w:t>)</w:t>
      </w:r>
      <w:r w:rsidRPr="00861634">
        <w:rPr>
          <w:rStyle w:val="None"/>
          <w:rFonts w:ascii="Calibri" w:eastAsia="Times New Roman" w:hAnsi="Calibri" w:cs="Calibri"/>
          <w:i/>
          <w:iCs/>
          <w:color w:val="auto"/>
          <w:sz w:val="20"/>
          <w:szCs w:val="20"/>
          <w:vertAlign w:val="superscript"/>
        </w:rPr>
        <w:footnoteReference w:id="41"/>
      </w:r>
      <w:r w:rsidRPr="00861634">
        <w:rPr>
          <w:rStyle w:val="None"/>
          <w:rFonts w:ascii="Calibri" w:eastAsia="Calibri" w:hAnsi="Calibri" w:cs="Calibri"/>
          <w:color w:val="auto"/>
          <w:sz w:val="20"/>
          <w:szCs w:val="20"/>
        </w:rPr>
        <w:t>.  The authors to the Women and Men in China - Fact and Figures 2012, from where this example is taken, rightly stress that in the survey “</w:t>
      </w:r>
      <w:r w:rsidRPr="00861634">
        <w:rPr>
          <w:rFonts w:ascii="Calibri" w:eastAsia="Calibri" w:hAnsi="Calibri" w:cs="Calibri"/>
          <w:i/>
          <w:iCs/>
          <w:color w:val="auto"/>
          <w:sz w:val="20"/>
          <w:szCs w:val="20"/>
        </w:rPr>
        <w:t>It was revealed that the traditional gender division of labor, an ineffective leadership selection mechanism for women and the gender bias in the society remained a major hindrance to women’s participation in the social and political fields</w:t>
      </w:r>
      <w:r w:rsidRPr="00861634">
        <w:rPr>
          <w:rStyle w:val="None"/>
          <w:rFonts w:ascii="Calibri" w:eastAsia="Calibri" w:hAnsi="Calibri" w:cs="Calibri"/>
          <w:color w:val="auto"/>
          <w:sz w:val="20"/>
          <w:szCs w:val="20"/>
        </w:rPr>
        <w:t>”</w:t>
      </w:r>
      <w:r w:rsidRPr="00861634">
        <w:rPr>
          <w:rStyle w:val="None"/>
          <w:rFonts w:ascii="Calibri" w:eastAsia="Times New Roman" w:hAnsi="Calibri" w:cs="Calibri"/>
          <w:color w:val="auto"/>
          <w:sz w:val="20"/>
          <w:szCs w:val="20"/>
          <w:vertAlign w:val="superscript"/>
        </w:rPr>
        <w:footnoteReference w:id="42"/>
      </w:r>
      <w:r w:rsidRPr="00861634">
        <w:rPr>
          <w:rStyle w:val="None"/>
          <w:rFonts w:ascii="Calibri" w:eastAsia="Calibri" w:hAnsi="Calibri" w:cs="Calibri"/>
          <w:color w:val="auto"/>
          <w:sz w:val="20"/>
          <w:szCs w:val="20"/>
        </w:rPr>
        <w:t xml:space="preserve">. </w:t>
      </w:r>
    </w:p>
    <w:p w:rsidR="00D75975" w:rsidRPr="00861634" w:rsidRDefault="004B4F83" w:rsidP="00861634">
      <w:pPr>
        <w:pStyle w:val="ListParagraph"/>
        <w:numPr>
          <w:ilvl w:val="0"/>
          <w:numId w:val="2"/>
        </w:numPr>
        <w:spacing w:after="120"/>
        <w:ind w:left="0" w:firstLine="0"/>
        <w:rPr>
          <w:rFonts w:ascii="Calibri" w:eastAsia="Calibri" w:hAnsi="Calibri" w:cs="Calibri"/>
          <w:i/>
          <w:iCs/>
          <w:color w:val="auto"/>
          <w:sz w:val="20"/>
          <w:szCs w:val="20"/>
        </w:rPr>
      </w:pPr>
      <w:r w:rsidRPr="00861634">
        <w:rPr>
          <w:rStyle w:val="None"/>
          <w:rFonts w:ascii="Calibri" w:eastAsia="Calibri" w:hAnsi="Calibri" w:cs="Calibri"/>
          <w:color w:val="auto"/>
          <w:sz w:val="20"/>
          <w:szCs w:val="20"/>
        </w:rPr>
        <w:t>Gender bias is not only imposed onto women but is also something that is embedded in women’s own perceptions, which can be seen in that, in 2010, 54.8 percent of women (61.6 % of men) believed that men should be in charge of the external affairs and women of domestic affairs. This was an increase from 50.4 and 53.9 percent respectively in year 2000, illustrating that both men and women are still holding on to old belief systems</w:t>
      </w:r>
      <w:r w:rsidRPr="00861634">
        <w:rPr>
          <w:rStyle w:val="None"/>
          <w:rFonts w:ascii="Calibri" w:eastAsia="Times New Roman" w:hAnsi="Calibri" w:cs="Calibri"/>
          <w:color w:val="auto"/>
          <w:sz w:val="20"/>
          <w:szCs w:val="20"/>
          <w:vertAlign w:val="superscript"/>
        </w:rPr>
        <w:footnoteReference w:id="43"/>
      </w:r>
      <w:r w:rsidRPr="00861634">
        <w:rPr>
          <w:rStyle w:val="None"/>
          <w:rFonts w:ascii="Calibri" w:eastAsia="Calibri" w:hAnsi="Calibri" w:cs="Calibri"/>
          <w:color w:val="auto"/>
          <w:sz w:val="20"/>
          <w:szCs w:val="20"/>
        </w:rPr>
        <w:t>. At the same time women hold a strong belief (91.2% in 2010) that men should take a share in the household responsibilities. Men are increasingly agreeing with this perception (82.0 % in 2010, up from 77.2% in year 2000)</w:t>
      </w:r>
      <w:r w:rsidRPr="00861634">
        <w:rPr>
          <w:rStyle w:val="None"/>
          <w:rFonts w:ascii="Calibri" w:eastAsia="Times New Roman" w:hAnsi="Calibri" w:cs="Calibri"/>
          <w:color w:val="auto"/>
          <w:sz w:val="20"/>
          <w:szCs w:val="20"/>
          <w:vertAlign w:val="superscript"/>
        </w:rPr>
        <w:footnoteReference w:id="44"/>
      </w:r>
      <w:r w:rsidRPr="00861634">
        <w:rPr>
          <w:rStyle w:val="None"/>
          <w:rFonts w:ascii="Calibri" w:eastAsia="Calibri" w:hAnsi="Calibri" w:cs="Calibri"/>
          <w:color w:val="auto"/>
          <w:sz w:val="20"/>
          <w:szCs w:val="20"/>
        </w:rPr>
        <w:t>.</w:t>
      </w:r>
      <w:r w:rsidRPr="00861634">
        <w:rPr>
          <w:rStyle w:val="None"/>
          <w:rFonts w:ascii="Calibri" w:eastAsia="Calibri" w:hAnsi="Calibri" w:cs="Calibri"/>
          <w:i/>
          <w:iCs/>
          <w:color w:val="auto"/>
          <w:sz w:val="20"/>
          <w:szCs w:val="20"/>
          <w:u w:color="FF0000"/>
        </w:rPr>
        <w:t xml:space="preserve"> </w:t>
      </w:r>
      <w:r w:rsidRPr="00861634">
        <w:rPr>
          <w:rStyle w:val="None"/>
          <w:rFonts w:ascii="Calibri" w:eastAsia="Calibri" w:hAnsi="Calibri" w:cs="Calibri"/>
          <w:color w:val="auto"/>
          <w:sz w:val="20"/>
          <w:szCs w:val="20"/>
        </w:rPr>
        <w:t>However, one thing is believing in an ideal another is living it. Only 16 percent of men partake in household chores, 17 percent in tutoring their children and 16.8 in attending to elderly parents</w:t>
      </w:r>
      <w:r w:rsidRPr="00861634">
        <w:rPr>
          <w:rStyle w:val="None"/>
          <w:rFonts w:ascii="Calibri" w:eastAsia="Times New Roman" w:hAnsi="Calibri" w:cs="Calibri"/>
          <w:color w:val="auto"/>
          <w:sz w:val="20"/>
          <w:szCs w:val="20"/>
          <w:vertAlign w:val="superscript"/>
        </w:rPr>
        <w:footnoteReference w:id="45"/>
      </w:r>
      <w:r w:rsidRPr="00861634">
        <w:rPr>
          <w:rStyle w:val="None"/>
          <w:rFonts w:ascii="Calibri" w:eastAsia="Calibri" w:hAnsi="Calibri" w:cs="Calibri"/>
          <w:i/>
          <w:iCs/>
          <w:color w:val="auto"/>
          <w:sz w:val="20"/>
          <w:szCs w:val="20"/>
          <w:u w:color="FF0000"/>
        </w:rPr>
        <w:t xml:space="preserve">, </w:t>
      </w:r>
      <w:r w:rsidRPr="00861634">
        <w:rPr>
          <w:rStyle w:val="None"/>
          <w:rFonts w:ascii="Calibri" w:eastAsia="Calibri" w:hAnsi="Calibri" w:cs="Calibri"/>
          <w:color w:val="auto"/>
          <w:sz w:val="20"/>
          <w:szCs w:val="20"/>
        </w:rPr>
        <w:t>and</w:t>
      </w:r>
      <w:r w:rsidRPr="00861634">
        <w:rPr>
          <w:rFonts w:ascii="Calibri" w:eastAsia="Calibri" w:hAnsi="Calibri" w:cs="Calibri"/>
          <w:i/>
          <w:iCs/>
          <w:color w:val="auto"/>
          <w:sz w:val="20"/>
          <w:szCs w:val="20"/>
        </w:rPr>
        <w:t xml:space="preserve"> </w:t>
      </w:r>
      <w:r w:rsidRPr="00861634">
        <w:rPr>
          <w:rStyle w:val="None"/>
          <w:rFonts w:ascii="Calibri" w:eastAsia="Calibri" w:hAnsi="Calibri" w:cs="Calibri"/>
          <w:color w:val="auto"/>
          <w:sz w:val="20"/>
          <w:szCs w:val="20"/>
        </w:rPr>
        <w:t>for men who do household chores they spend 2.5 -3 times less time on the chores, compared to women who, in the rural areas, spend on average 266 minutes a day on household chores</w:t>
      </w:r>
      <w:r w:rsidRPr="00861634">
        <w:rPr>
          <w:rStyle w:val="None"/>
          <w:rFonts w:ascii="Calibri" w:eastAsia="Times New Roman" w:hAnsi="Calibri" w:cs="Calibri"/>
          <w:color w:val="auto"/>
          <w:sz w:val="20"/>
          <w:szCs w:val="20"/>
          <w:vertAlign w:val="superscript"/>
        </w:rPr>
        <w:footnoteReference w:id="46"/>
      </w:r>
      <w:r w:rsidRPr="00861634">
        <w:rPr>
          <w:rStyle w:val="None"/>
          <w:rFonts w:ascii="Calibri" w:eastAsia="Calibri" w:hAnsi="Calibri" w:cs="Calibri"/>
          <w:color w:val="auto"/>
          <w:sz w:val="20"/>
          <w:szCs w:val="20"/>
          <w:u w:color="FF0000"/>
        </w:rPr>
        <w:t xml:space="preserve">. </w:t>
      </w:r>
      <w:r w:rsidRPr="00861634">
        <w:rPr>
          <w:rStyle w:val="None"/>
          <w:rFonts w:ascii="Calibri" w:eastAsia="Calibri" w:hAnsi="Calibri" w:cs="Calibri"/>
          <w:color w:val="auto"/>
          <w:sz w:val="20"/>
          <w:szCs w:val="20"/>
        </w:rPr>
        <w:t>In addition to doing more household and child caring chores women also more substantially engage in unpaid work, which is at the expense of paid work. Women in rural areas spend approximately 42 percent of their 64 hours work week doing unpaid work, whereas men only spend 13.5 percent on un-paid work</w:t>
      </w:r>
      <w:r w:rsidRPr="00861634">
        <w:rPr>
          <w:rStyle w:val="None"/>
          <w:rFonts w:ascii="Calibri" w:eastAsia="Times New Roman" w:hAnsi="Calibri" w:cs="Calibri"/>
          <w:color w:val="auto"/>
          <w:sz w:val="20"/>
          <w:szCs w:val="20"/>
          <w:vertAlign w:val="superscript"/>
        </w:rPr>
        <w:footnoteReference w:id="47"/>
      </w:r>
      <w:r w:rsidRPr="00861634">
        <w:rPr>
          <w:rStyle w:val="None"/>
          <w:rFonts w:ascii="Calibri" w:eastAsia="Calibri" w:hAnsi="Calibri" w:cs="Calibri"/>
          <w:color w:val="auto"/>
          <w:sz w:val="20"/>
          <w:szCs w:val="20"/>
        </w:rPr>
        <w:t xml:space="preserve">. </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Fonts w:ascii="Calibri" w:eastAsia="Calibri" w:hAnsi="Calibri" w:cs="Calibri"/>
          <w:color w:val="auto"/>
          <w:sz w:val="20"/>
          <w:szCs w:val="20"/>
        </w:rPr>
        <w:t>The unpaid work in rural areas, although not exclusive, is often related to working on own land, in many cases for subsistence to ensure the household’s food security. What the above data to some extent also indicates is that women often are the ones managing and maintaining the households, small farm plots and husbandry. The data does not however, indicate that men are not involved in the farming work, but rather that men are working off farm which in most cases means that they are migrant workers working away from home for prolonged periods of time. In the cases where there are both males and females in the household, they both attend the land although there again is a gender related division of labor where men (although activities are often shared) predominately operate the machinery, do the sowing, fertilizing and harvesting</w:t>
      </w:r>
      <w:r w:rsidRPr="00861634">
        <w:rPr>
          <w:rStyle w:val="None"/>
          <w:rFonts w:ascii="Calibri" w:eastAsia="Times New Roman" w:hAnsi="Calibri" w:cs="Calibri"/>
          <w:color w:val="auto"/>
          <w:sz w:val="20"/>
          <w:szCs w:val="20"/>
          <w:vertAlign w:val="superscript"/>
        </w:rPr>
        <w:footnoteReference w:id="48"/>
      </w:r>
      <w:r w:rsidRPr="00861634">
        <w:rPr>
          <w:rFonts w:ascii="Calibri" w:eastAsia="Calibri" w:hAnsi="Calibri" w:cs="Calibri"/>
          <w:color w:val="auto"/>
          <w:sz w:val="20"/>
          <w:szCs w:val="20"/>
        </w:rPr>
        <w:t>.</w:t>
      </w:r>
      <w:r w:rsidRPr="00861634">
        <w:rPr>
          <w:rStyle w:val="None"/>
          <w:rFonts w:ascii="Calibri" w:eastAsia="Calibri" w:hAnsi="Calibri" w:cs="Calibri"/>
          <w:i/>
          <w:iCs/>
          <w:color w:val="auto"/>
          <w:sz w:val="20"/>
          <w:szCs w:val="20"/>
        </w:rPr>
        <w:t xml:space="preserve"> </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Fonts w:ascii="Calibri" w:eastAsia="Calibri" w:hAnsi="Calibri" w:cs="Calibri"/>
          <w:color w:val="auto"/>
          <w:sz w:val="20"/>
          <w:szCs w:val="20"/>
        </w:rPr>
        <w:t>Moving back to the topic of migrant workers. As, in today’s society, people are becoming increasingly dependent upon money and being able to pay for services, it is no longer a valid strategy to be self-sufficient living of what the land can provide in terms of goods. Fees for school, doctors, electricity bills and so on, provide for an increasing need of individuals and households to have an income. Because of this migration is increasingly seen as a normal phenomenon for people in the rural areas who do not have special skills to make money in the village or its surroundings</w:t>
      </w:r>
      <w:r w:rsidRPr="00861634">
        <w:rPr>
          <w:rStyle w:val="None"/>
          <w:rFonts w:ascii="Calibri" w:eastAsia="Times New Roman" w:hAnsi="Calibri" w:cs="Calibri"/>
          <w:color w:val="auto"/>
          <w:sz w:val="20"/>
          <w:szCs w:val="20"/>
          <w:vertAlign w:val="superscript"/>
        </w:rPr>
        <w:footnoteReference w:id="49"/>
      </w:r>
      <w:r w:rsidRPr="00861634">
        <w:rPr>
          <w:rFonts w:ascii="Calibri" w:eastAsia="Calibri" w:hAnsi="Calibri" w:cs="Calibri"/>
          <w:color w:val="auto"/>
          <w:sz w:val="20"/>
          <w:szCs w:val="20"/>
        </w:rPr>
        <w:t>.</w:t>
      </w:r>
      <w:r w:rsidRPr="00861634">
        <w:rPr>
          <w:rStyle w:val="None"/>
          <w:rFonts w:ascii="Calibri" w:eastAsia="Calibri" w:hAnsi="Calibri" w:cs="Calibri"/>
          <w:color w:val="auto"/>
          <w:sz w:val="20"/>
          <w:szCs w:val="20"/>
          <w:u w:color="FF0000"/>
        </w:rPr>
        <w:t xml:space="preserve">  </w:t>
      </w:r>
    </w:p>
    <w:p w:rsidR="00D75975" w:rsidRPr="00861634" w:rsidRDefault="004B4F83" w:rsidP="00861634">
      <w:pPr>
        <w:pStyle w:val="ListParagraph"/>
        <w:numPr>
          <w:ilvl w:val="0"/>
          <w:numId w:val="2"/>
        </w:numPr>
        <w:spacing w:after="120"/>
        <w:ind w:left="0" w:firstLine="0"/>
        <w:rPr>
          <w:rFonts w:ascii="Calibri" w:eastAsia="Calibri" w:hAnsi="Calibri" w:cs="Calibri"/>
          <w:i/>
          <w:iCs/>
          <w:color w:val="auto"/>
          <w:sz w:val="20"/>
          <w:szCs w:val="20"/>
        </w:rPr>
      </w:pPr>
      <w:r w:rsidRPr="00861634">
        <w:rPr>
          <w:rStyle w:val="None"/>
          <w:rFonts w:ascii="Calibri" w:eastAsia="Calibri" w:hAnsi="Calibri" w:cs="Calibri"/>
          <w:color w:val="auto"/>
          <w:sz w:val="20"/>
          <w:szCs w:val="20"/>
        </w:rPr>
        <w:t>Although migrant workers are primarily men, women make up a substantial part (at least one third) of the people seeking their fortune in the urban areas</w:t>
      </w:r>
      <w:r w:rsidRPr="00861634">
        <w:rPr>
          <w:rStyle w:val="None"/>
          <w:rFonts w:ascii="Calibri" w:eastAsia="Times New Roman" w:hAnsi="Calibri" w:cs="Calibri"/>
          <w:color w:val="auto"/>
          <w:sz w:val="20"/>
          <w:szCs w:val="20"/>
          <w:vertAlign w:val="superscript"/>
        </w:rPr>
        <w:footnoteReference w:id="50"/>
      </w:r>
      <w:r w:rsidRPr="00861634">
        <w:rPr>
          <w:rStyle w:val="None"/>
          <w:rFonts w:ascii="Calibri" w:eastAsia="Calibri" w:hAnsi="Calibri" w:cs="Calibri"/>
          <w:color w:val="auto"/>
          <w:sz w:val="20"/>
          <w:szCs w:val="20"/>
        </w:rPr>
        <w:t>. The male/female ratio in the 16 to 25 year old bracket is almost 1:1, where the age average of 23 is lower than their male counterparts, and the female migration is more localized often within a given province</w:t>
      </w:r>
      <w:r w:rsidRPr="00861634">
        <w:rPr>
          <w:rStyle w:val="None"/>
          <w:rFonts w:ascii="Calibri" w:eastAsia="Times New Roman" w:hAnsi="Calibri" w:cs="Calibri"/>
          <w:color w:val="auto"/>
          <w:sz w:val="20"/>
          <w:szCs w:val="20"/>
          <w:vertAlign w:val="superscript"/>
        </w:rPr>
        <w:footnoteReference w:id="51"/>
      </w:r>
      <w:r w:rsidRPr="00861634">
        <w:rPr>
          <w:rStyle w:val="None"/>
          <w:rFonts w:ascii="Calibri" w:eastAsia="Calibri" w:hAnsi="Calibri" w:cs="Calibri"/>
          <w:color w:val="auto"/>
          <w:sz w:val="20"/>
          <w:szCs w:val="20"/>
          <w:u w:color="FF0000"/>
        </w:rPr>
        <w:t xml:space="preserve">. </w:t>
      </w:r>
      <w:r w:rsidRPr="00861634">
        <w:rPr>
          <w:rStyle w:val="None"/>
          <w:rFonts w:ascii="Calibri" w:eastAsia="Calibri" w:hAnsi="Calibri" w:cs="Calibri"/>
          <w:color w:val="auto"/>
          <w:sz w:val="20"/>
          <w:szCs w:val="20"/>
        </w:rPr>
        <w:t>Another aspect is that women who have migrated in many cases return to the rural areas when they get married, to provide care and education for their children as well as care for the elderly</w:t>
      </w:r>
      <w:r w:rsidRPr="00861634">
        <w:rPr>
          <w:rStyle w:val="None"/>
          <w:rFonts w:ascii="Calibri" w:eastAsia="Calibri" w:hAnsi="Calibri" w:cs="Calibri"/>
          <w:i/>
          <w:iCs/>
          <w:color w:val="auto"/>
          <w:sz w:val="20"/>
          <w:szCs w:val="20"/>
          <w:u w:color="FF0000"/>
        </w:rPr>
        <w:t xml:space="preserve">. </w:t>
      </w:r>
      <w:r w:rsidRPr="00861634">
        <w:rPr>
          <w:rStyle w:val="None"/>
          <w:rFonts w:ascii="Calibri" w:eastAsia="Calibri" w:hAnsi="Calibri" w:cs="Calibri"/>
          <w:color w:val="auto"/>
          <w:sz w:val="20"/>
          <w:szCs w:val="20"/>
        </w:rPr>
        <w:t>Reasons for men returning are 1) not making enough money; 2) not satisfied with the job and 3) having better opportunities at home</w:t>
      </w:r>
      <w:r w:rsidRPr="00861634">
        <w:rPr>
          <w:rStyle w:val="None"/>
          <w:rFonts w:ascii="Calibri" w:eastAsia="Times New Roman" w:hAnsi="Calibri" w:cs="Calibri"/>
          <w:color w:val="auto"/>
          <w:sz w:val="20"/>
          <w:szCs w:val="20"/>
          <w:vertAlign w:val="superscript"/>
        </w:rPr>
        <w:footnoteReference w:id="52"/>
      </w:r>
      <w:r w:rsidRPr="00861634">
        <w:rPr>
          <w:rStyle w:val="None"/>
          <w:rFonts w:ascii="Calibri" w:eastAsia="Calibri" w:hAnsi="Calibri" w:cs="Calibri"/>
          <w:color w:val="auto"/>
          <w:sz w:val="20"/>
          <w:szCs w:val="20"/>
        </w:rPr>
        <w:t>.</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Fonts w:ascii="Calibri" w:eastAsia="Calibri" w:hAnsi="Calibri" w:cs="Calibri"/>
          <w:color w:val="auto"/>
          <w:sz w:val="20"/>
          <w:szCs w:val="20"/>
        </w:rPr>
        <w:t>The choice to migrate or remain is not straightforward and many aspects that are related to family economy etc., have to be considered, such as financial issues, food security, risk reduction and old-age security</w:t>
      </w:r>
      <w:r w:rsidRPr="00861634">
        <w:rPr>
          <w:rStyle w:val="None"/>
          <w:rFonts w:ascii="Calibri" w:eastAsia="Times New Roman" w:hAnsi="Calibri" w:cs="Calibri"/>
          <w:color w:val="auto"/>
          <w:sz w:val="20"/>
          <w:szCs w:val="20"/>
          <w:vertAlign w:val="superscript"/>
        </w:rPr>
        <w:footnoteReference w:id="53"/>
      </w:r>
      <w:r w:rsidRPr="00861634">
        <w:rPr>
          <w:rFonts w:ascii="Calibri" w:eastAsia="Calibri" w:hAnsi="Calibri" w:cs="Calibri"/>
          <w:color w:val="auto"/>
          <w:sz w:val="20"/>
          <w:szCs w:val="20"/>
        </w:rPr>
        <w:t>.  In cases where couples are not migrating together it is most often the husband who migrates</w:t>
      </w:r>
      <w:r w:rsidRPr="00861634">
        <w:rPr>
          <w:rStyle w:val="None"/>
          <w:rFonts w:ascii="Calibri" w:eastAsia="Times New Roman" w:hAnsi="Calibri" w:cs="Calibri"/>
          <w:color w:val="auto"/>
          <w:sz w:val="20"/>
          <w:szCs w:val="20"/>
          <w:vertAlign w:val="superscript"/>
        </w:rPr>
        <w:footnoteReference w:id="54"/>
      </w:r>
      <w:r w:rsidRPr="00861634">
        <w:rPr>
          <w:rStyle w:val="None"/>
          <w:rFonts w:ascii="Calibri" w:eastAsia="Calibri" w:hAnsi="Calibri" w:cs="Calibri"/>
          <w:i/>
          <w:iCs/>
          <w:color w:val="auto"/>
          <w:sz w:val="20"/>
          <w:szCs w:val="20"/>
        </w:rPr>
        <w:t>.</w:t>
      </w:r>
      <w:r w:rsidRPr="00861634">
        <w:rPr>
          <w:rStyle w:val="None"/>
          <w:rFonts w:ascii="Calibri" w:eastAsia="Calibri" w:hAnsi="Calibri" w:cs="Calibri"/>
          <w:i/>
          <w:iCs/>
          <w:color w:val="auto"/>
          <w:sz w:val="20"/>
          <w:szCs w:val="20"/>
          <w:u w:color="FF0000"/>
        </w:rPr>
        <w:t xml:space="preserve"> </w:t>
      </w:r>
      <w:r w:rsidRPr="00861634">
        <w:rPr>
          <w:rFonts w:ascii="Calibri" w:eastAsia="Calibri" w:hAnsi="Calibri" w:cs="Calibri"/>
          <w:color w:val="auto"/>
          <w:sz w:val="20"/>
          <w:szCs w:val="20"/>
        </w:rPr>
        <w:t>This choice is in part gender biased, but also an economic one, as men in general, as noted above, will have higher earnings thus, will be able to increase the combined support to the family.</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Fonts w:ascii="Calibri" w:eastAsia="Calibri" w:hAnsi="Calibri" w:cs="Calibri"/>
          <w:color w:val="auto"/>
          <w:sz w:val="20"/>
          <w:szCs w:val="20"/>
        </w:rPr>
        <w:t>The rural outflux of migrant workers has resulted in a decrease in the village populations across China, which in turn results in less people to farm the land. It also results in that, in the rural areas, females account for 70 percent of the population</w:t>
      </w:r>
      <w:r w:rsidRPr="00861634">
        <w:rPr>
          <w:rStyle w:val="None"/>
          <w:rFonts w:ascii="Calibri" w:eastAsia="Times New Roman" w:hAnsi="Calibri" w:cs="Calibri"/>
          <w:color w:val="auto"/>
          <w:sz w:val="20"/>
          <w:szCs w:val="20"/>
          <w:vertAlign w:val="superscript"/>
        </w:rPr>
        <w:footnoteReference w:id="55"/>
      </w:r>
      <w:r w:rsidRPr="00861634">
        <w:rPr>
          <w:rFonts w:ascii="Calibri" w:eastAsia="Calibri" w:hAnsi="Calibri" w:cs="Calibri"/>
          <w:color w:val="auto"/>
          <w:sz w:val="20"/>
          <w:szCs w:val="20"/>
        </w:rPr>
        <w:t>, many of which are ”left behind women” living in single parent households. Being sole responsible for caring for the household’s farm land and livestock is a substantial task and very time consuming, which also explains (at least in part) the many hours of unpaid work rural women undertake.</w:t>
      </w:r>
    </w:p>
    <w:p w:rsidR="00D75975" w:rsidRPr="00861634" w:rsidRDefault="004B4F83" w:rsidP="00861634">
      <w:pPr>
        <w:pStyle w:val="ListParagraph"/>
        <w:numPr>
          <w:ilvl w:val="0"/>
          <w:numId w:val="2"/>
        </w:numPr>
        <w:spacing w:after="120"/>
        <w:ind w:left="0" w:firstLine="0"/>
        <w:rPr>
          <w:rFonts w:ascii="Calibri" w:eastAsia="Calibri" w:hAnsi="Calibri" w:cs="Calibri"/>
          <w:i/>
          <w:iCs/>
          <w:color w:val="auto"/>
          <w:sz w:val="20"/>
          <w:szCs w:val="20"/>
        </w:rPr>
      </w:pPr>
      <w:r w:rsidRPr="00861634">
        <w:rPr>
          <w:rStyle w:val="None"/>
          <w:rFonts w:ascii="Calibri" w:eastAsia="Calibri" w:hAnsi="Calibri" w:cs="Calibri"/>
          <w:color w:val="auto"/>
          <w:sz w:val="20"/>
          <w:szCs w:val="20"/>
        </w:rPr>
        <w:t>To cope with the workload “left behind women” and other in similar situations such as older people working the farming land alone, look towards strategies which reduce the workload with a minimum loss in production. For instance, although the Government in certain areas is encouraging double cropping of rice and provides higher subsidies (per mu) compared to the single cropping rice subsidy, many opt out from double cropping</w:t>
      </w:r>
      <w:r w:rsidRPr="00861634">
        <w:rPr>
          <w:rStyle w:val="None"/>
          <w:rFonts w:ascii="Calibri" w:eastAsia="Times New Roman" w:hAnsi="Calibri" w:cs="Calibri"/>
          <w:color w:val="auto"/>
          <w:sz w:val="20"/>
          <w:szCs w:val="20"/>
          <w:vertAlign w:val="superscript"/>
        </w:rPr>
        <w:footnoteReference w:id="56"/>
      </w:r>
      <w:r w:rsidRPr="00861634">
        <w:rPr>
          <w:rStyle w:val="None"/>
          <w:rFonts w:ascii="Calibri" w:eastAsia="Calibri" w:hAnsi="Calibri" w:cs="Calibri"/>
          <w:color w:val="auto"/>
          <w:sz w:val="20"/>
          <w:szCs w:val="20"/>
        </w:rPr>
        <w:t xml:space="preserve">. </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Fonts w:ascii="Calibri" w:eastAsia="Calibri" w:hAnsi="Calibri" w:cs="Calibri"/>
          <w:color w:val="auto"/>
          <w:sz w:val="20"/>
          <w:szCs w:val="20"/>
        </w:rPr>
        <w:t>In making decisions on farming, two factors are often paramount: food for the family and how easy the work is. Because of this, own consumption crops like rice, vegetables and for instance maize for chickens are grown. Local households often also raise chicken and ducks etc.</w:t>
      </w:r>
      <w:r w:rsidRPr="00861634">
        <w:rPr>
          <w:rStyle w:val="None"/>
          <w:rFonts w:ascii="Calibri" w:eastAsia="Times New Roman" w:hAnsi="Calibri" w:cs="Calibri"/>
          <w:color w:val="auto"/>
          <w:sz w:val="20"/>
          <w:szCs w:val="20"/>
          <w:vertAlign w:val="superscript"/>
        </w:rPr>
        <w:footnoteReference w:id="57"/>
      </w:r>
      <w:r w:rsidRPr="00861634">
        <w:rPr>
          <w:rStyle w:val="None"/>
          <w:rFonts w:ascii="Calibri" w:eastAsia="Calibri" w:hAnsi="Calibri" w:cs="Calibri"/>
          <w:i/>
          <w:iCs/>
          <w:color w:val="auto"/>
          <w:sz w:val="20"/>
          <w:szCs w:val="20"/>
          <w:u w:color="FF0000"/>
        </w:rPr>
        <w:t xml:space="preserve">, </w:t>
      </w:r>
      <w:r w:rsidRPr="00861634">
        <w:rPr>
          <w:rFonts w:ascii="Calibri" w:eastAsia="Calibri" w:hAnsi="Calibri" w:cs="Calibri"/>
          <w:color w:val="auto"/>
          <w:sz w:val="20"/>
          <w:szCs w:val="20"/>
        </w:rPr>
        <w:t xml:space="preserve">but households might also raise goat/s, pig/s and cow/s.  The workload factor also becomes important in determining whether or not to farm small plots, which lies in the more remote part of the village and in some cases these plots are abandoned in order to concentrate on land closer to home.  </w:t>
      </w:r>
    </w:p>
    <w:p w:rsidR="00D75975" w:rsidRPr="00861634" w:rsidRDefault="00D75975" w:rsidP="00861634">
      <w:pPr>
        <w:pStyle w:val="Body"/>
        <w:spacing w:after="120"/>
        <w:rPr>
          <w:rFonts w:ascii="Calibri" w:eastAsia="Calibri" w:hAnsi="Calibri" w:cs="Calibri"/>
          <w:color w:val="auto"/>
          <w:sz w:val="20"/>
          <w:szCs w:val="20"/>
        </w:rPr>
      </w:pPr>
    </w:p>
    <w:p w:rsidR="00D75975" w:rsidRPr="00861634" w:rsidRDefault="004B4F83" w:rsidP="00861634">
      <w:pPr>
        <w:pStyle w:val="ListParagraph"/>
        <w:spacing w:after="120"/>
        <w:ind w:left="0"/>
        <w:rPr>
          <w:rStyle w:val="None"/>
          <w:rFonts w:ascii="Calibri" w:eastAsia="Calibri" w:hAnsi="Calibri" w:cs="Calibri"/>
          <w:b/>
          <w:bCs/>
          <w:color w:val="auto"/>
          <w:sz w:val="20"/>
          <w:szCs w:val="20"/>
        </w:rPr>
      </w:pPr>
      <w:r w:rsidRPr="00861634">
        <w:rPr>
          <w:rStyle w:val="None"/>
          <w:rFonts w:ascii="Calibri" w:eastAsia="Calibri" w:hAnsi="Calibri" w:cs="Calibri"/>
          <w:b/>
          <w:bCs/>
          <w:color w:val="auto"/>
          <w:sz w:val="20"/>
          <w:szCs w:val="20"/>
        </w:rPr>
        <w:t>Gender screening of the project demonstration areas</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Style w:val="None"/>
          <w:rFonts w:ascii="Calibri" w:eastAsia="Calibri" w:hAnsi="Calibri" w:cs="Calibri"/>
          <w:color w:val="auto"/>
          <w:sz w:val="20"/>
          <w:szCs w:val="20"/>
        </w:rPr>
        <w:t xml:space="preserve">The situation of women in China is, as mentioned, on the political agenda of the Chinese government as a result of continuous efforts to diminish gender disparities and understanding that further work is needed to advance towards gender equality. In pursuing that political line the Government has developed gender mainstreaming policies and programs encompassing all aspects of social and economic life targeted for gender mainstreaming including </w:t>
      </w:r>
      <w:hyperlink r:id="rId7" w:history="1">
        <w:r w:rsidRPr="00861634">
          <w:rPr>
            <w:rStyle w:val="Hyperlink1"/>
            <w:rFonts w:ascii="Calibri" w:eastAsia="Calibri" w:hAnsi="Calibri" w:cs="Calibri"/>
            <w:color w:val="auto"/>
            <w:sz w:val="20"/>
            <w:szCs w:val="20"/>
          </w:rPr>
          <w:t>health</w:t>
        </w:r>
      </w:hyperlink>
      <w:r w:rsidRPr="00861634">
        <w:rPr>
          <w:rStyle w:val="Hyperlink1"/>
          <w:rFonts w:ascii="Calibri" w:eastAsia="Calibri" w:hAnsi="Calibri" w:cs="Calibri"/>
          <w:color w:val="auto"/>
          <w:sz w:val="20"/>
          <w:szCs w:val="20"/>
        </w:rPr>
        <w:t xml:space="preserve">, </w:t>
      </w:r>
      <w:hyperlink r:id="rId8" w:history="1">
        <w:r w:rsidRPr="00861634">
          <w:rPr>
            <w:rStyle w:val="Hyperlink1"/>
            <w:rFonts w:ascii="Calibri" w:eastAsia="Calibri" w:hAnsi="Calibri" w:cs="Calibri"/>
            <w:color w:val="auto"/>
            <w:sz w:val="20"/>
            <w:szCs w:val="20"/>
          </w:rPr>
          <w:t>education</w:t>
        </w:r>
      </w:hyperlink>
      <w:r w:rsidRPr="00861634">
        <w:rPr>
          <w:rStyle w:val="Hyperlink1"/>
          <w:rFonts w:ascii="Calibri" w:eastAsia="Calibri" w:hAnsi="Calibri" w:cs="Calibri"/>
          <w:color w:val="auto"/>
          <w:sz w:val="20"/>
          <w:szCs w:val="20"/>
        </w:rPr>
        <w:t xml:space="preserve">, economy, </w:t>
      </w:r>
      <w:hyperlink r:id="rId9" w:history="1">
        <w:r w:rsidRPr="00861634">
          <w:rPr>
            <w:rStyle w:val="Hyperlink2"/>
            <w:rFonts w:ascii="Calibri" w:eastAsia="Calibri" w:hAnsi="Calibri" w:cs="Calibri"/>
            <w:color w:val="auto"/>
            <w:sz w:val="20"/>
            <w:szCs w:val="20"/>
          </w:rPr>
          <w:t>political</w:t>
        </w:r>
      </w:hyperlink>
      <w:r w:rsidRPr="00861634">
        <w:rPr>
          <w:rStyle w:val="None"/>
          <w:rFonts w:ascii="Calibri" w:eastAsia="Calibri" w:hAnsi="Calibri" w:cs="Calibri"/>
          <w:color w:val="auto"/>
          <w:sz w:val="20"/>
          <w:szCs w:val="20"/>
          <w:lang w:val="fr-FR"/>
        </w:rPr>
        <w:t xml:space="preserve"> participation, social </w:t>
      </w:r>
      <w:hyperlink r:id="rId10" w:history="1">
        <w:r w:rsidRPr="00861634">
          <w:rPr>
            <w:rStyle w:val="Hyperlink1"/>
            <w:rFonts w:ascii="Calibri" w:eastAsia="Calibri" w:hAnsi="Calibri" w:cs="Calibri"/>
            <w:color w:val="auto"/>
            <w:sz w:val="20"/>
            <w:szCs w:val="20"/>
          </w:rPr>
          <w:t>security</w:t>
        </w:r>
      </w:hyperlink>
      <w:r w:rsidRPr="00861634">
        <w:rPr>
          <w:rStyle w:val="Hyperlink1"/>
          <w:rFonts w:ascii="Calibri" w:eastAsia="Calibri" w:hAnsi="Calibri" w:cs="Calibri"/>
          <w:color w:val="auto"/>
          <w:sz w:val="20"/>
          <w:szCs w:val="20"/>
        </w:rPr>
        <w:t xml:space="preserve">, </w:t>
      </w:r>
      <w:hyperlink r:id="rId11" w:history="1">
        <w:r w:rsidRPr="00861634">
          <w:rPr>
            <w:rStyle w:val="Hyperlink1"/>
            <w:rFonts w:ascii="Calibri" w:eastAsia="Calibri" w:hAnsi="Calibri" w:cs="Calibri"/>
            <w:color w:val="auto"/>
            <w:sz w:val="20"/>
            <w:szCs w:val="20"/>
          </w:rPr>
          <w:t>environment</w:t>
        </w:r>
      </w:hyperlink>
      <w:r w:rsidRPr="00861634">
        <w:rPr>
          <w:rStyle w:val="Hyperlink1"/>
          <w:rFonts w:ascii="Calibri" w:eastAsia="Calibri" w:hAnsi="Calibri" w:cs="Calibri"/>
          <w:color w:val="auto"/>
          <w:sz w:val="20"/>
          <w:szCs w:val="20"/>
        </w:rPr>
        <w:t xml:space="preserve">, and </w:t>
      </w:r>
      <w:hyperlink r:id="rId12" w:history="1">
        <w:r w:rsidRPr="00861634">
          <w:rPr>
            <w:rStyle w:val="Hyperlink1"/>
            <w:rFonts w:ascii="Calibri" w:eastAsia="Calibri" w:hAnsi="Calibri" w:cs="Calibri"/>
            <w:color w:val="auto"/>
            <w:sz w:val="20"/>
            <w:szCs w:val="20"/>
          </w:rPr>
          <w:t>law</w:t>
        </w:r>
      </w:hyperlink>
      <w:r w:rsidRPr="00861634">
        <w:rPr>
          <w:rStyle w:val="Hyperlink1"/>
          <w:rFonts w:ascii="Calibri" w:eastAsia="Calibri" w:hAnsi="Calibri" w:cs="Calibri"/>
          <w:color w:val="auto"/>
          <w:sz w:val="20"/>
          <w:szCs w:val="20"/>
        </w:rPr>
        <w:t>. Equally important is the drive to transpire the gender development policies  at all levels of governance: national, provincial, municipal, county, township and village. The policies adopted and implemented at local levels are in conjunction with the national policies and strategic directions. Mirroring the political process at central level the local gender development policies are adopted by the local people’s congresses and implemented by the local governments in collaboration with the respective local branches of the All-China Women’</w:t>
      </w:r>
      <w:r w:rsidRPr="00861634">
        <w:rPr>
          <w:rStyle w:val="None"/>
          <w:rFonts w:ascii="Calibri" w:eastAsia="Calibri" w:hAnsi="Calibri" w:cs="Calibri"/>
          <w:color w:val="auto"/>
          <w:sz w:val="20"/>
          <w:szCs w:val="20"/>
          <w:lang w:val="fr-FR"/>
        </w:rPr>
        <w:t xml:space="preserve">s </w:t>
      </w:r>
      <w:proofErr w:type="spellStart"/>
      <w:r w:rsidRPr="00861634">
        <w:rPr>
          <w:rStyle w:val="None"/>
          <w:rFonts w:ascii="Calibri" w:eastAsia="Calibri" w:hAnsi="Calibri" w:cs="Calibri"/>
          <w:color w:val="auto"/>
          <w:sz w:val="20"/>
          <w:szCs w:val="20"/>
          <w:lang w:val="fr-FR"/>
        </w:rPr>
        <w:t>Federation</w:t>
      </w:r>
      <w:proofErr w:type="spellEnd"/>
      <w:r w:rsidRPr="00861634">
        <w:rPr>
          <w:rStyle w:val="None"/>
          <w:rFonts w:ascii="Calibri" w:eastAsia="Calibri" w:hAnsi="Calibri" w:cs="Calibri"/>
          <w:color w:val="auto"/>
          <w:sz w:val="20"/>
          <w:szCs w:val="20"/>
          <w:lang w:val="fr-FR"/>
        </w:rPr>
        <w:t xml:space="preserve"> (ACWF)</w:t>
      </w:r>
      <w:r w:rsidRPr="00861634">
        <w:rPr>
          <w:rStyle w:val="Hyperlink1"/>
          <w:rFonts w:ascii="Calibri" w:eastAsia="Calibri" w:hAnsi="Calibri" w:cs="Calibri"/>
          <w:color w:val="auto"/>
          <w:sz w:val="20"/>
          <w:szCs w:val="20"/>
        </w:rPr>
        <w:t>. Both project demonstration areas are covered by provincial for Hainan and municipal for Chongqing regulations on the Protection of Women's Rights and Interests formulated in accordance with the Law of the People's Republic of China on the Protection of Women's Rights and Interests and reflecting specific local contexts.</w:t>
      </w:r>
    </w:p>
    <w:p w:rsidR="00D75975" w:rsidRPr="00861634" w:rsidRDefault="00D75975" w:rsidP="00861634">
      <w:pPr>
        <w:pStyle w:val="Body"/>
        <w:spacing w:after="120"/>
        <w:rPr>
          <w:rFonts w:ascii="Calibri" w:eastAsia="Calibri" w:hAnsi="Calibri" w:cs="Calibri"/>
          <w:color w:val="auto"/>
          <w:sz w:val="20"/>
          <w:szCs w:val="20"/>
        </w:rPr>
      </w:pPr>
    </w:p>
    <w:p w:rsidR="00D75975" w:rsidRPr="00861634" w:rsidRDefault="004B4F83" w:rsidP="00861634">
      <w:pPr>
        <w:pStyle w:val="ListParagraph"/>
        <w:spacing w:after="120"/>
        <w:ind w:left="0"/>
        <w:rPr>
          <w:rStyle w:val="None"/>
          <w:rFonts w:ascii="Calibri" w:eastAsia="Calibri" w:hAnsi="Calibri" w:cs="Calibri"/>
          <w:b/>
          <w:bCs/>
          <w:color w:val="auto"/>
          <w:sz w:val="20"/>
          <w:szCs w:val="20"/>
        </w:rPr>
      </w:pPr>
      <w:r w:rsidRPr="00861634">
        <w:rPr>
          <w:rStyle w:val="None"/>
          <w:rFonts w:ascii="Calibri" w:eastAsia="Calibri" w:hAnsi="Calibri" w:cs="Calibri"/>
          <w:b/>
          <w:bCs/>
          <w:color w:val="auto"/>
          <w:sz w:val="20"/>
          <w:szCs w:val="20"/>
        </w:rPr>
        <w:t>Gender situation in Hainan Province</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Style w:val="None"/>
          <w:rFonts w:ascii="Calibri" w:eastAsia="Calibri" w:hAnsi="Calibri" w:cs="Calibri"/>
          <w:color w:val="auto"/>
          <w:sz w:val="20"/>
          <w:szCs w:val="20"/>
        </w:rPr>
        <w:t xml:space="preserve">The </w:t>
      </w:r>
      <w:r w:rsidRPr="00861634">
        <w:rPr>
          <w:rStyle w:val="Hyperlink1"/>
          <w:rFonts w:ascii="Calibri" w:eastAsia="Calibri" w:hAnsi="Calibri" w:cs="Calibri"/>
          <w:color w:val="auto"/>
          <w:sz w:val="20"/>
          <w:szCs w:val="20"/>
        </w:rPr>
        <w:t xml:space="preserve">gender development in Hainan is regulated by Provisions on the Protection of Women's Rights and Interests in Hainan Province formulated to safeguard women's legitimate rights and interests and promote equality between men and women. The Women's and Children's Working Committees of the local governments at county, municipal and provincial level are tasked with the implementation, coordination and supervision of the measures under these provisions. The provisions provide for health, education, equal employment opportunities , legal and civil rights for women. They also foresee guaranteed participation of women in public governance, economic enterprises management and communities’ councils, committees and other formats. It is declared that </w:t>
      </w:r>
      <w:r w:rsidRPr="00861634">
        <w:rPr>
          <w:rStyle w:val="Hyperlink2"/>
          <w:rFonts w:ascii="Calibri" w:eastAsia="Calibri" w:hAnsi="Calibri" w:cs="Calibri"/>
          <w:color w:val="auto"/>
          <w:sz w:val="20"/>
          <w:szCs w:val="20"/>
        </w:rPr>
        <w:t>an appropriate</w:t>
      </w:r>
      <w:r w:rsidRPr="00861634">
        <w:rPr>
          <w:rStyle w:val="Hyperlink1"/>
          <w:rFonts w:ascii="Calibri" w:eastAsia="Calibri" w:hAnsi="Calibri" w:cs="Calibri"/>
          <w:color w:val="auto"/>
          <w:sz w:val="20"/>
          <w:szCs w:val="20"/>
        </w:rPr>
        <w:t xml:space="preserve"> and increasing number of women should have seats in the local People’s Congresses and an appropriate number of women shall be members of the Standing Committees of People’s Congresses, as well as leading members of government bodies at county, municipal and provincial levels. In the cases of ethnic autonomous areas, participation of women from the respective ethnic minorities should be ensured. It is also declared that residents’ and villagers’ committees should include female members. The provisions stipulate that all matters concerning women’s rights and interests, including legislation should be consulted with the respective women’s federation. As for rural women, the provisions ensure equal land rights with that of men. A main stakeholder with respect to gender mainstreaming in Hainan is the Hainan Women's, </w:t>
      </w:r>
      <w:r w:rsidRPr="00861634">
        <w:rPr>
          <w:rStyle w:val="None"/>
          <w:rFonts w:ascii="Calibri" w:eastAsia="Calibri" w:hAnsi="Calibri" w:cs="Calibri"/>
          <w:color w:val="auto"/>
          <w:sz w:val="20"/>
          <w:szCs w:val="20"/>
        </w:rPr>
        <w:t>w</w:t>
      </w:r>
      <w:r w:rsidRPr="00861634">
        <w:rPr>
          <w:rStyle w:val="Hyperlink1"/>
          <w:rFonts w:ascii="Calibri" w:eastAsia="Calibri" w:hAnsi="Calibri" w:cs="Calibri"/>
          <w:color w:val="auto"/>
          <w:sz w:val="20"/>
          <w:szCs w:val="20"/>
        </w:rPr>
        <w:t>hich was established on October 31, 1988. It is a women’s rights organization,  part of the All-China Women’</w:t>
      </w:r>
      <w:r w:rsidRPr="00861634">
        <w:rPr>
          <w:rStyle w:val="None"/>
          <w:rFonts w:ascii="Calibri" w:eastAsia="Calibri" w:hAnsi="Calibri" w:cs="Calibri"/>
          <w:color w:val="auto"/>
          <w:sz w:val="20"/>
          <w:szCs w:val="20"/>
          <w:lang w:val="fr-FR"/>
        </w:rPr>
        <w:t xml:space="preserve">s </w:t>
      </w:r>
      <w:proofErr w:type="spellStart"/>
      <w:r w:rsidRPr="00861634">
        <w:rPr>
          <w:rStyle w:val="None"/>
          <w:rFonts w:ascii="Calibri" w:eastAsia="Calibri" w:hAnsi="Calibri" w:cs="Calibri"/>
          <w:color w:val="auto"/>
          <w:sz w:val="20"/>
          <w:szCs w:val="20"/>
          <w:lang w:val="fr-FR"/>
        </w:rPr>
        <w:t>Federation</w:t>
      </w:r>
      <w:proofErr w:type="spellEnd"/>
      <w:r w:rsidRPr="00861634">
        <w:rPr>
          <w:rStyle w:val="None"/>
          <w:rFonts w:ascii="Calibri" w:eastAsia="Calibri" w:hAnsi="Calibri" w:cs="Calibri"/>
          <w:color w:val="auto"/>
          <w:sz w:val="20"/>
          <w:szCs w:val="20"/>
          <w:lang w:val="fr-FR"/>
        </w:rPr>
        <w:t xml:space="preserve"> (ACWF)</w:t>
      </w:r>
      <w:r w:rsidRPr="00861634">
        <w:rPr>
          <w:rStyle w:val="Hyperlink1"/>
          <w:rFonts w:ascii="Calibri" w:eastAsia="Calibri" w:hAnsi="Calibri" w:cs="Calibri"/>
          <w:color w:val="auto"/>
          <w:sz w:val="20"/>
          <w:szCs w:val="20"/>
        </w:rPr>
        <w:t xml:space="preserve">, responsible for promoting government policies on women and protecting women’s rights within the government. There are 18 women's federations in the province functioning at </w:t>
      </w:r>
      <w:r w:rsidRPr="00861634">
        <w:rPr>
          <w:rStyle w:val="Hyperlink2"/>
          <w:rFonts w:ascii="Calibri" w:eastAsia="Calibri" w:hAnsi="Calibri" w:cs="Calibri"/>
          <w:color w:val="auto"/>
          <w:sz w:val="20"/>
          <w:szCs w:val="20"/>
        </w:rPr>
        <w:t>provinc</w:t>
      </w:r>
      <w:proofErr w:type="spellStart"/>
      <w:r w:rsidRPr="00861634">
        <w:rPr>
          <w:rStyle w:val="Hyperlink1"/>
          <w:rFonts w:ascii="Calibri" w:eastAsia="Calibri" w:hAnsi="Calibri" w:cs="Calibri"/>
          <w:color w:val="auto"/>
          <w:sz w:val="20"/>
          <w:szCs w:val="20"/>
        </w:rPr>
        <w:t>ial</w:t>
      </w:r>
      <w:proofErr w:type="spellEnd"/>
      <w:r w:rsidRPr="00861634">
        <w:rPr>
          <w:rStyle w:val="Hyperlink2"/>
          <w:rFonts w:ascii="Calibri" w:eastAsia="Calibri" w:hAnsi="Calibri" w:cs="Calibri"/>
          <w:color w:val="auto"/>
          <w:sz w:val="20"/>
          <w:szCs w:val="20"/>
        </w:rPr>
        <w:t>, cit</w:t>
      </w:r>
      <w:r w:rsidRPr="00861634">
        <w:rPr>
          <w:rStyle w:val="Hyperlink1"/>
          <w:rFonts w:ascii="Calibri" w:eastAsia="Calibri" w:hAnsi="Calibri" w:cs="Calibri"/>
          <w:color w:val="auto"/>
          <w:sz w:val="20"/>
          <w:szCs w:val="20"/>
        </w:rPr>
        <w:t xml:space="preserve">y, county, township and </w:t>
      </w:r>
      <w:r w:rsidRPr="00861634">
        <w:rPr>
          <w:rStyle w:val="None"/>
          <w:rFonts w:ascii="Calibri" w:eastAsia="Calibri" w:hAnsi="Calibri" w:cs="Calibri"/>
          <w:color w:val="auto"/>
          <w:sz w:val="20"/>
          <w:szCs w:val="20"/>
          <w:lang w:val="fr-FR"/>
        </w:rPr>
        <w:t>village</w:t>
      </w:r>
      <w:r w:rsidRPr="00861634">
        <w:rPr>
          <w:rStyle w:val="Hyperlink1"/>
          <w:rFonts w:ascii="Calibri" w:eastAsia="Calibri" w:hAnsi="Calibri" w:cs="Calibri"/>
          <w:color w:val="auto"/>
          <w:sz w:val="20"/>
          <w:szCs w:val="20"/>
        </w:rPr>
        <w:t xml:space="preserve"> levels including in Wenchang city and Hulu village. Hainan Women's Federation has a well-established institutional infrastructure comprising of internal offices, including departments for women's development, rights and interests, family and children's work, organization and liaison. The project demonstration area of Wenchang is the scope of activity of the Wenchang Women's Federation which is fully operational and has four functional departments: internal office, urban-rural coordination, children and propaganda and education, and women’s rights and interests.</w:t>
      </w:r>
      <w:r w:rsidRPr="00861634">
        <w:rPr>
          <w:rStyle w:val="None"/>
          <w:rFonts w:ascii="Calibri" w:eastAsia="Calibri" w:hAnsi="Calibri" w:cs="Calibri"/>
          <w:color w:val="auto"/>
          <w:sz w:val="20"/>
          <w:szCs w:val="20"/>
        </w:rPr>
        <w:t xml:space="preserve"> </w:t>
      </w:r>
    </w:p>
    <w:p w:rsidR="00D75975" w:rsidRPr="00861634" w:rsidRDefault="00D75975" w:rsidP="00861634">
      <w:pPr>
        <w:pStyle w:val="Body"/>
        <w:spacing w:after="120"/>
        <w:rPr>
          <w:rStyle w:val="None"/>
          <w:rFonts w:ascii="Calibri" w:eastAsia="Calibri" w:hAnsi="Calibri" w:cs="Calibri"/>
          <w:color w:val="auto"/>
          <w:sz w:val="20"/>
          <w:szCs w:val="20"/>
        </w:rPr>
      </w:pPr>
    </w:p>
    <w:p w:rsidR="00D75975" w:rsidRPr="00861634" w:rsidRDefault="004B4F83" w:rsidP="00861634">
      <w:pPr>
        <w:pStyle w:val="ListParagraph"/>
        <w:spacing w:after="120"/>
        <w:ind w:left="0"/>
        <w:rPr>
          <w:rStyle w:val="None"/>
          <w:rFonts w:ascii="Calibri" w:eastAsia="Calibri" w:hAnsi="Calibri" w:cs="Calibri"/>
          <w:b/>
          <w:bCs/>
          <w:color w:val="auto"/>
          <w:sz w:val="20"/>
          <w:szCs w:val="20"/>
        </w:rPr>
      </w:pPr>
      <w:r w:rsidRPr="00861634">
        <w:rPr>
          <w:rStyle w:val="None"/>
          <w:rFonts w:ascii="Calibri" w:eastAsia="Calibri" w:hAnsi="Calibri" w:cs="Calibri"/>
          <w:b/>
          <w:bCs/>
          <w:color w:val="auto"/>
          <w:sz w:val="20"/>
          <w:szCs w:val="20"/>
        </w:rPr>
        <w:t xml:space="preserve">Gender situation in the municipality of Chongqing </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Style w:val="None"/>
          <w:rFonts w:ascii="Calibri" w:eastAsia="Calibri" w:hAnsi="Calibri" w:cs="Calibri"/>
          <w:color w:val="auto"/>
          <w:kern w:val="2"/>
          <w:sz w:val="20"/>
          <w:szCs w:val="20"/>
        </w:rPr>
        <w:t xml:space="preserve">The oversight of the gender mainstreaming matters in Chongqing lies with the specially designated Committees for the Protection of Women's Rights and Interests which consist of the heads of the local governments, courts, attorney general offices, women's federations, trade unions and other relevant stakeholders, and are chaired by the head of the respective local government. Such committees function at municipal, district and county levels and are tasked to coordinate the implementation of gender mainstreaming measures; to propose legislation tailored to protect women's rights and interests; to promulgate the existing regulations and supervise their implementation; to accept and see through complaints on violations of women's rights and interests; and to provide trainings on protection of women's rights and interests. Minimum quotas for female members of people’s congresses are set to 25% at municipal, district and county levels and 20% at township level. It is declared that women should account for a certain proportion of candidates for standing committees of people's congresses at all levels and among candidates for leadership of the standing committees at least one shall be a woman. It is also declared that an appropriate number of women should be elected members in villagers' and residents' committees and that the proportion of female representatives in the staff congress of an enterprise shall be in proportion with the number of female employees. Provisions are made to protect the economic interests of rural women and to guarantee equal rights with men on land ownership and management. In Chongqing region too, a main stakeholder are the All-China Women’s Federation who consult all regulations, plans and measures concerning gender equality and promote candidates for leadership positions. The Chongqing branch of the ACWF has develop and implement various projects aimed at improving women’s skills and welfare including in the field of rural development and agriculture. An example is the program @She Plan Mother's Business Revolving Fund in Stalagmite Hill Village, </w:t>
      </w:r>
      <w:proofErr w:type="spellStart"/>
      <w:r w:rsidRPr="00861634">
        <w:rPr>
          <w:rStyle w:val="None"/>
          <w:rFonts w:ascii="Calibri" w:eastAsia="Calibri" w:hAnsi="Calibri" w:cs="Calibri"/>
          <w:color w:val="auto"/>
          <w:kern w:val="2"/>
          <w:sz w:val="20"/>
          <w:szCs w:val="20"/>
        </w:rPr>
        <w:t>Yongchuan</w:t>
      </w:r>
      <w:proofErr w:type="spellEnd"/>
      <w:r w:rsidRPr="00861634">
        <w:rPr>
          <w:rStyle w:val="None"/>
          <w:rFonts w:ascii="Calibri" w:eastAsia="Calibri" w:hAnsi="Calibri" w:cs="Calibri"/>
          <w:color w:val="auto"/>
          <w:kern w:val="2"/>
          <w:sz w:val="20"/>
          <w:szCs w:val="20"/>
        </w:rPr>
        <w:t xml:space="preserve"> District which undertook various trainings of cooperative members and women in particular, to help them master a series of techniques from seedling raising through fruit picking and grafting etc. In Bashan the </w:t>
      </w:r>
      <w:proofErr w:type="spellStart"/>
      <w:r w:rsidRPr="00861634">
        <w:rPr>
          <w:rStyle w:val="None"/>
          <w:rFonts w:ascii="Calibri" w:eastAsia="Calibri" w:hAnsi="Calibri" w:cs="Calibri"/>
          <w:color w:val="auto"/>
          <w:kern w:val="2"/>
          <w:sz w:val="20"/>
          <w:szCs w:val="20"/>
        </w:rPr>
        <w:t>Chengkou</w:t>
      </w:r>
      <w:proofErr w:type="spellEnd"/>
      <w:r w:rsidRPr="00861634">
        <w:rPr>
          <w:rStyle w:val="None"/>
          <w:rFonts w:ascii="Calibri" w:eastAsia="Calibri" w:hAnsi="Calibri" w:cs="Calibri"/>
          <w:color w:val="auto"/>
          <w:kern w:val="2"/>
          <w:sz w:val="20"/>
          <w:szCs w:val="20"/>
        </w:rPr>
        <w:t xml:space="preserve"> County Women's Federation has launched the "Bashan Smart Daughters-in-law" project to capacitate women, boost local culture, create clean environment and build civilized countryside.</w:t>
      </w:r>
    </w:p>
    <w:p w:rsidR="00D75975" w:rsidRPr="00861634" w:rsidRDefault="00D75975" w:rsidP="00861634">
      <w:pPr>
        <w:pStyle w:val="Body"/>
        <w:spacing w:after="120"/>
        <w:rPr>
          <w:rFonts w:ascii="Calibri" w:eastAsia="Calibri" w:hAnsi="Calibri" w:cs="Calibri"/>
          <w:color w:val="auto"/>
          <w:sz w:val="20"/>
          <w:szCs w:val="20"/>
        </w:rPr>
      </w:pPr>
    </w:p>
    <w:p w:rsidR="00D75975" w:rsidRPr="00861634" w:rsidRDefault="004B4F83" w:rsidP="00861634">
      <w:pPr>
        <w:pStyle w:val="BodyA"/>
        <w:spacing w:after="120"/>
        <w:rPr>
          <w:rStyle w:val="None"/>
          <w:b/>
          <w:bCs/>
          <w:color w:val="auto"/>
          <w:sz w:val="20"/>
          <w:szCs w:val="20"/>
        </w:rPr>
      </w:pPr>
      <w:r w:rsidRPr="00861634">
        <w:rPr>
          <w:rStyle w:val="None"/>
          <w:b/>
          <w:bCs/>
          <w:color w:val="auto"/>
          <w:sz w:val="20"/>
          <w:szCs w:val="20"/>
        </w:rPr>
        <w:t>Gender situation at village level in the project’s demonstration areas</w:t>
      </w:r>
    </w:p>
    <w:p w:rsidR="00D75975" w:rsidRPr="00861634" w:rsidRDefault="004B4F83" w:rsidP="00861634">
      <w:pPr>
        <w:pStyle w:val="BodyA"/>
        <w:numPr>
          <w:ilvl w:val="0"/>
          <w:numId w:val="2"/>
        </w:numPr>
        <w:spacing w:after="120"/>
        <w:ind w:left="0" w:firstLine="0"/>
        <w:jc w:val="both"/>
        <w:rPr>
          <w:color w:val="auto"/>
          <w:sz w:val="20"/>
          <w:szCs w:val="20"/>
        </w:rPr>
      </w:pPr>
      <w:r w:rsidRPr="00861634">
        <w:rPr>
          <w:rStyle w:val="None"/>
          <w:color w:val="auto"/>
          <w:sz w:val="20"/>
          <w:szCs w:val="20"/>
        </w:rPr>
        <w:t xml:space="preserve">For the preparation of the local component of the </w:t>
      </w:r>
      <w:r w:rsidRPr="00861634">
        <w:rPr>
          <w:rStyle w:val="None"/>
          <w:color w:val="auto"/>
          <w:sz w:val="20"/>
          <w:szCs w:val="20"/>
          <w:u w:color="FF0000"/>
        </w:rPr>
        <w:t>baseline review, visits to the designated demonstration areas have been undertaken to conduct on the site research of the local women’s situation. Fact finding missions were organized to three villages from three different regions in China where among others, surveys among the local farming communities have been carried out. The purpose of the exercise was to analyze the gender situation at the grassroots level in China and check the consistency of the national efforts to mainstream and empower women at the lowest level of governance in the country. Focusing on the main priorities of t</w:t>
      </w:r>
      <w:r w:rsidRPr="00861634">
        <w:rPr>
          <w:rStyle w:val="None"/>
          <w:color w:val="auto"/>
          <w:sz w:val="20"/>
          <w:szCs w:val="20"/>
        </w:rPr>
        <w:t xml:space="preserve">he third national </w:t>
      </w:r>
      <w:proofErr w:type="spellStart"/>
      <w:r w:rsidRPr="00861634">
        <w:rPr>
          <w:rStyle w:val="None"/>
          <w:color w:val="auto"/>
          <w:sz w:val="20"/>
          <w:szCs w:val="20"/>
        </w:rPr>
        <w:t>programme</w:t>
      </w:r>
      <w:proofErr w:type="spellEnd"/>
      <w:r w:rsidRPr="00861634">
        <w:rPr>
          <w:rStyle w:val="None"/>
          <w:color w:val="auto"/>
          <w:sz w:val="20"/>
          <w:szCs w:val="20"/>
        </w:rPr>
        <w:t xml:space="preserve"> of China for the development of women, the project has looked at local women’s education, economic situation, participation in decision-making and management, and positioning towards the environment.</w:t>
      </w:r>
    </w:p>
    <w:p w:rsidR="00D75975" w:rsidRPr="00861634" w:rsidRDefault="004B4F83" w:rsidP="00861634">
      <w:pPr>
        <w:pStyle w:val="BodyA"/>
        <w:numPr>
          <w:ilvl w:val="0"/>
          <w:numId w:val="2"/>
        </w:numPr>
        <w:spacing w:after="120"/>
        <w:ind w:left="0" w:firstLine="0"/>
        <w:jc w:val="both"/>
        <w:rPr>
          <w:color w:val="auto"/>
          <w:sz w:val="20"/>
          <w:szCs w:val="20"/>
        </w:rPr>
      </w:pPr>
      <w:r w:rsidRPr="00861634">
        <w:rPr>
          <w:rStyle w:val="None"/>
          <w:color w:val="auto"/>
          <w:sz w:val="20"/>
          <w:szCs w:val="20"/>
        </w:rPr>
        <w:t xml:space="preserve">It was established that likewise the higher social-administrative levels, situation of women in villages is governed by the Law on the Protection of Women's Rights and Interests and efforts are being made to advance towards the stipulation that “women shall enjoy equal rights with men in all aspects of political, economic, cultural, social and family life”. Acknowledging that however, it should be underlined that there are substantial gender gaps in the villages putting the rural women in a disadvantaged position compared to men. </w:t>
      </w:r>
    </w:p>
    <w:p w:rsidR="00D75975" w:rsidRPr="00861634" w:rsidRDefault="00D75975" w:rsidP="00861634">
      <w:pPr>
        <w:pStyle w:val="BodyA"/>
        <w:spacing w:after="120"/>
        <w:jc w:val="both"/>
        <w:rPr>
          <w:rStyle w:val="None"/>
          <w:color w:val="auto"/>
          <w:sz w:val="20"/>
          <w:szCs w:val="20"/>
        </w:rPr>
      </w:pPr>
    </w:p>
    <w:p w:rsidR="00D75975" w:rsidRPr="00861634" w:rsidRDefault="004B4F83" w:rsidP="00861634">
      <w:pPr>
        <w:pStyle w:val="BodyA"/>
        <w:spacing w:after="120"/>
        <w:jc w:val="both"/>
        <w:rPr>
          <w:rStyle w:val="None"/>
          <w:b/>
          <w:bCs/>
          <w:color w:val="auto"/>
          <w:sz w:val="20"/>
          <w:szCs w:val="20"/>
        </w:rPr>
      </w:pPr>
      <w:r w:rsidRPr="00861634">
        <w:rPr>
          <w:rStyle w:val="None"/>
          <w:b/>
          <w:bCs/>
          <w:color w:val="auto"/>
          <w:sz w:val="20"/>
          <w:szCs w:val="20"/>
        </w:rPr>
        <w:t>Education of women in the project demonstration areas.</w:t>
      </w:r>
    </w:p>
    <w:p w:rsidR="00D75975" w:rsidRPr="00861634" w:rsidRDefault="004B4F83" w:rsidP="00861634">
      <w:pPr>
        <w:pStyle w:val="BodyA"/>
        <w:numPr>
          <w:ilvl w:val="0"/>
          <w:numId w:val="2"/>
        </w:numPr>
        <w:spacing w:after="120"/>
        <w:ind w:left="0" w:firstLine="0"/>
        <w:jc w:val="both"/>
        <w:rPr>
          <w:color w:val="auto"/>
          <w:sz w:val="20"/>
          <w:szCs w:val="20"/>
        </w:rPr>
      </w:pPr>
      <w:r w:rsidRPr="00861634">
        <w:rPr>
          <w:rStyle w:val="None"/>
          <w:color w:val="auto"/>
          <w:sz w:val="20"/>
          <w:szCs w:val="20"/>
        </w:rPr>
        <w:t xml:space="preserve">As shown by the results of the surveys in </w:t>
      </w:r>
      <w:proofErr w:type="spellStart"/>
      <w:r w:rsidRPr="00861634">
        <w:rPr>
          <w:rStyle w:val="None"/>
          <w:color w:val="auto"/>
          <w:sz w:val="20"/>
          <w:szCs w:val="20"/>
        </w:rPr>
        <w:t>Longfei</w:t>
      </w:r>
      <w:proofErr w:type="spellEnd"/>
      <w:r w:rsidRPr="00861634">
        <w:rPr>
          <w:rStyle w:val="None"/>
          <w:color w:val="auto"/>
          <w:sz w:val="20"/>
          <w:szCs w:val="20"/>
        </w:rPr>
        <w:t xml:space="preserve"> village, Chongqing and Hulu village, Hainan there is a distorted pattern in the education of rural women versus men, with marked fluctuations but in general consistent with the findings at national and regional levels. In the </w:t>
      </w:r>
      <w:proofErr w:type="spellStart"/>
      <w:r w:rsidRPr="00861634">
        <w:rPr>
          <w:rStyle w:val="None"/>
          <w:color w:val="auto"/>
          <w:sz w:val="20"/>
          <w:szCs w:val="20"/>
        </w:rPr>
        <w:t>Longfei</w:t>
      </w:r>
      <w:proofErr w:type="spellEnd"/>
      <w:r w:rsidRPr="00861634">
        <w:rPr>
          <w:rStyle w:val="None"/>
          <w:color w:val="auto"/>
          <w:sz w:val="20"/>
          <w:szCs w:val="20"/>
        </w:rPr>
        <w:t xml:space="preserve"> and Hulu villages the education level of women within the group of respondents differs to some extent from the Chongqing’s and Hainan’s average as 50% (61) of the respondents in </w:t>
      </w:r>
      <w:proofErr w:type="spellStart"/>
      <w:r w:rsidRPr="00861634">
        <w:rPr>
          <w:rStyle w:val="None"/>
          <w:color w:val="auto"/>
          <w:sz w:val="20"/>
          <w:szCs w:val="20"/>
        </w:rPr>
        <w:t>Longfei</w:t>
      </w:r>
      <w:proofErr w:type="spellEnd"/>
      <w:r w:rsidRPr="00861634">
        <w:rPr>
          <w:rStyle w:val="None"/>
          <w:color w:val="auto"/>
          <w:sz w:val="20"/>
          <w:szCs w:val="20"/>
        </w:rPr>
        <w:t xml:space="preserve"> and 39% (18) of the respondents in Hulu have a primary level education or less. 48 respondents (40%) and 18 respondents (39%) respectively have a junior high school education and only 10% for </w:t>
      </w:r>
      <w:proofErr w:type="spellStart"/>
      <w:r w:rsidRPr="00861634">
        <w:rPr>
          <w:rStyle w:val="None"/>
          <w:color w:val="auto"/>
          <w:sz w:val="20"/>
          <w:szCs w:val="20"/>
        </w:rPr>
        <w:t>Longfei</w:t>
      </w:r>
      <w:proofErr w:type="spellEnd"/>
      <w:r w:rsidRPr="00861634">
        <w:rPr>
          <w:rStyle w:val="None"/>
          <w:color w:val="auto"/>
          <w:sz w:val="20"/>
          <w:szCs w:val="20"/>
        </w:rPr>
        <w:t xml:space="preserve"> and 22% for Hulu have a degree from a high school or higher – showing that comparatively the villages have as a whole a lower education level compared with their superior administrative jurisdiction.</w:t>
      </w:r>
    </w:p>
    <w:p w:rsidR="00D75975" w:rsidRPr="00861634" w:rsidRDefault="00D75975" w:rsidP="00861634">
      <w:pPr>
        <w:pStyle w:val="BodyA"/>
        <w:spacing w:after="120"/>
        <w:jc w:val="both"/>
        <w:rPr>
          <w:rStyle w:val="None"/>
          <w:color w:val="auto"/>
          <w:sz w:val="20"/>
          <w:szCs w:val="20"/>
        </w:rPr>
      </w:pPr>
    </w:p>
    <w:p w:rsidR="00D75975" w:rsidRPr="00861634" w:rsidRDefault="004B4F83" w:rsidP="00861634">
      <w:pPr>
        <w:pStyle w:val="BodyA"/>
        <w:spacing w:after="120"/>
        <w:rPr>
          <w:rStyle w:val="None"/>
          <w:b/>
          <w:bCs/>
          <w:color w:val="auto"/>
          <w:sz w:val="20"/>
          <w:szCs w:val="20"/>
        </w:rPr>
      </w:pPr>
      <w:r w:rsidRPr="00861634">
        <w:rPr>
          <w:rStyle w:val="None"/>
          <w:b/>
          <w:bCs/>
          <w:color w:val="auto"/>
          <w:sz w:val="20"/>
          <w:szCs w:val="20"/>
        </w:rPr>
        <w:t xml:space="preserve">Figure 1: Education level among respondents in </w:t>
      </w:r>
      <w:proofErr w:type="spellStart"/>
      <w:r w:rsidRPr="00861634">
        <w:rPr>
          <w:rStyle w:val="None"/>
          <w:b/>
          <w:bCs/>
          <w:color w:val="auto"/>
          <w:sz w:val="20"/>
          <w:szCs w:val="20"/>
        </w:rPr>
        <w:t>Longfei</w:t>
      </w:r>
      <w:proofErr w:type="spellEnd"/>
      <w:r w:rsidRPr="00861634">
        <w:rPr>
          <w:rStyle w:val="None"/>
          <w:b/>
          <w:bCs/>
          <w:color w:val="auto"/>
          <w:sz w:val="20"/>
          <w:szCs w:val="20"/>
        </w:rPr>
        <w:t xml:space="preserve"> village vs Chongqing average</w:t>
      </w:r>
    </w:p>
    <w:p w:rsidR="00D75975" w:rsidRPr="00861634" w:rsidRDefault="004B4F83" w:rsidP="00861634">
      <w:pPr>
        <w:pStyle w:val="BodyA"/>
        <w:spacing w:after="120"/>
        <w:rPr>
          <w:rStyle w:val="None"/>
          <w:color w:val="auto"/>
          <w:sz w:val="20"/>
          <w:szCs w:val="20"/>
        </w:rPr>
      </w:pPr>
      <w:r w:rsidRPr="00861634">
        <w:rPr>
          <w:noProof/>
          <w:color w:val="auto"/>
          <w:sz w:val="20"/>
          <w:szCs w:val="20"/>
        </w:rPr>
        <w:drawing>
          <wp:inline distT="0" distB="0" distL="0" distR="0">
            <wp:extent cx="5855303" cy="1306011"/>
            <wp:effectExtent l="0" t="0" r="0" b="0"/>
            <wp:docPr id="1073741825" name="officeArt object"/>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D75975" w:rsidRPr="00861634" w:rsidRDefault="00D75975" w:rsidP="00861634">
      <w:pPr>
        <w:pStyle w:val="BodyA"/>
        <w:spacing w:after="120"/>
        <w:rPr>
          <w:rStyle w:val="None"/>
          <w:color w:val="auto"/>
          <w:sz w:val="20"/>
          <w:szCs w:val="20"/>
        </w:rPr>
      </w:pPr>
    </w:p>
    <w:p w:rsidR="00D75975" w:rsidRPr="00861634" w:rsidRDefault="004B4F83" w:rsidP="00861634">
      <w:pPr>
        <w:pStyle w:val="BodyA"/>
        <w:spacing w:after="120"/>
        <w:rPr>
          <w:rStyle w:val="None"/>
          <w:b/>
          <w:bCs/>
          <w:color w:val="auto"/>
          <w:sz w:val="20"/>
          <w:szCs w:val="20"/>
        </w:rPr>
      </w:pPr>
      <w:r w:rsidRPr="00861634">
        <w:rPr>
          <w:rStyle w:val="None"/>
          <w:b/>
          <w:bCs/>
          <w:color w:val="auto"/>
          <w:sz w:val="20"/>
          <w:szCs w:val="20"/>
        </w:rPr>
        <w:t>Figure 2: Education level among respondents in Hulu village vs Hainan average</w:t>
      </w:r>
    </w:p>
    <w:p w:rsidR="00D75975" w:rsidRPr="00861634" w:rsidRDefault="004B4F83" w:rsidP="00861634">
      <w:pPr>
        <w:pStyle w:val="BodyA"/>
        <w:spacing w:after="120"/>
        <w:rPr>
          <w:rStyle w:val="None"/>
          <w:color w:val="auto"/>
          <w:sz w:val="20"/>
          <w:szCs w:val="20"/>
        </w:rPr>
      </w:pPr>
      <w:r w:rsidRPr="00861634">
        <w:rPr>
          <w:noProof/>
          <w:color w:val="auto"/>
          <w:sz w:val="20"/>
          <w:szCs w:val="20"/>
        </w:rPr>
        <w:drawing>
          <wp:inline distT="0" distB="0" distL="0" distR="0">
            <wp:extent cx="5853575" cy="1306633"/>
            <wp:effectExtent l="0" t="0" r="0" b="0"/>
            <wp:docPr id="1073741826" name="officeArt object"/>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D75975" w:rsidRPr="00861634" w:rsidRDefault="004B4F83" w:rsidP="00861634">
      <w:pPr>
        <w:pStyle w:val="BodyA"/>
        <w:numPr>
          <w:ilvl w:val="0"/>
          <w:numId w:val="2"/>
        </w:numPr>
        <w:spacing w:after="120"/>
        <w:ind w:left="0" w:firstLine="0"/>
        <w:jc w:val="both"/>
        <w:rPr>
          <w:color w:val="auto"/>
          <w:sz w:val="20"/>
          <w:szCs w:val="20"/>
        </w:rPr>
      </w:pPr>
      <w:r w:rsidRPr="00861634">
        <w:rPr>
          <w:rStyle w:val="None"/>
          <w:color w:val="auto"/>
          <w:sz w:val="20"/>
          <w:szCs w:val="20"/>
        </w:rPr>
        <w:t>To the extent that a trend could be derived from the available data from the villages, it is seemingly in concurrence with the nationally identified patterns where only 46.7 percent of students in junior high school are girls, the average length of school attendance is still longer for men compared to women with about 0.8 years, and overall the education profile of men is higher than that of women.</w:t>
      </w:r>
    </w:p>
    <w:p w:rsidR="00D75975" w:rsidRPr="00861634" w:rsidRDefault="00D75975" w:rsidP="00861634">
      <w:pPr>
        <w:pStyle w:val="BodyA"/>
        <w:spacing w:after="120"/>
        <w:jc w:val="both"/>
        <w:rPr>
          <w:rStyle w:val="None"/>
          <w:color w:val="auto"/>
          <w:sz w:val="20"/>
          <w:szCs w:val="20"/>
        </w:rPr>
      </w:pPr>
    </w:p>
    <w:p w:rsidR="00D75975" w:rsidRPr="00861634" w:rsidRDefault="004B4F83" w:rsidP="00861634">
      <w:pPr>
        <w:pStyle w:val="BodyA"/>
        <w:spacing w:after="120"/>
        <w:rPr>
          <w:rStyle w:val="None"/>
          <w:b/>
          <w:bCs/>
          <w:color w:val="auto"/>
          <w:sz w:val="20"/>
          <w:szCs w:val="20"/>
        </w:rPr>
      </w:pPr>
      <w:r w:rsidRPr="00861634">
        <w:rPr>
          <w:rStyle w:val="None"/>
          <w:b/>
          <w:bCs/>
          <w:color w:val="auto"/>
          <w:sz w:val="20"/>
          <w:szCs w:val="20"/>
          <w:lang w:val="it-IT"/>
        </w:rPr>
        <w:t xml:space="preserve">Figure: 3 Time </w:t>
      </w:r>
      <w:r w:rsidRPr="00861634">
        <w:rPr>
          <w:rStyle w:val="None"/>
          <w:b/>
          <w:bCs/>
          <w:color w:val="auto"/>
          <w:sz w:val="20"/>
          <w:szCs w:val="20"/>
        </w:rPr>
        <w:t xml:space="preserve">spent by respondents on daily chores, </w:t>
      </w:r>
      <w:proofErr w:type="spellStart"/>
      <w:r w:rsidRPr="00861634">
        <w:rPr>
          <w:rStyle w:val="None"/>
          <w:b/>
          <w:bCs/>
          <w:color w:val="auto"/>
          <w:sz w:val="20"/>
          <w:szCs w:val="20"/>
        </w:rPr>
        <w:t>Longfei</w:t>
      </w:r>
      <w:proofErr w:type="spellEnd"/>
      <w:r w:rsidRPr="00861634">
        <w:rPr>
          <w:rStyle w:val="None"/>
          <w:b/>
          <w:bCs/>
          <w:color w:val="auto"/>
          <w:sz w:val="20"/>
          <w:szCs w:val="20"/>
        </w:rPr>
        <w:br/>
      </w:r>
    </w:p>
    <w:p w:rsidR="00D75975" w:rsidRPr="00861634" w:rsidRDefault="004B4F83" w:rsidP="00861634">
      <w:pPr>
        <w:pStyle w:val="BodyA"/>
        <w:spacing w:after="120"/>
        <w:rPr>
          <w:rStyle w:val="None"/>
          <w:color w:val="auto"/>
          <w:sz w:val="20"/>
          <w:szCs w:val="20"/>
        </w:rPr>
      </w:pPr>
      <w:r w:rsidRPr="00861634">
        <w:rPr>
          <w:noProof/>
          <w:color w:val="auto"/>
          <w:sz w:val="20"/>
          <w:szCs w:val="20"/>
        </w:rPr>
        <w:drawing>
          <wp:inline distT="0" distB="0" distL="0" distR="0">
            <wp:extent cx="5126046" cy="1374210"/>
            <wp:effectExtent l="0" t="0" r="0" b="0"/>
            <wp:docPr id="1073741827" name="officeArt object"/>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D75975" w:rsidRPr="00861634" w:rsidRDefault="00D75975" w:rsidP="00861634">
      <w:pPr>
        <w:pStyle w:val="Body"/>
        <w:spacing w:after="120"/>
        <w:rPr>
          <w:rStyle w:val="None"/>
          <w:rFonts w:ascii="Calibri" w:eastAsia="Calibri" w:hAnsi="Calibri" w:cs="Calibri"/>
          <w:b/>
          <w:bCs/>
          <w:color w:val="auto"/>
          <w:sz w:val="20"/>
          <w:szCs w:val="20"/>
        </w:rPr>
      </w:pPr>
    </w:p>
    <w:p w:rsidR="00D75975" w:rsidRPr="00861634" w:rsidRDefault="004B4F83" w:rsidP="00861634">
      <w:pPr>
        <w:pStyle w:val="BodyA"/>
        <w:spacing w:after="120"/>
        <w:rPr>
          <w:rStyle w:val="None"/>
          <w:b/>
          <w:bCs/>
          <w:color w:val="auto"/>
          <w:sz w:val="20"/>
          <w:szCs w:val="20"/>
        </w:rPr>
      </w:pPr>
      <w:r w:rsidRPr="00861634">
        <w:rPr>
          <w:rStyle w:val="None"/>
          <w:b/>
          <w:bCs/>
          <w:color w:val="auto"/>
          <w:sz w:val="20"/>
          <w:szCs w:val="20"/>
        </w:rPr>
        <w:t xml:space="preserve">Figure: 4 </w:t>
      </w:r>
      <w:r w:rsidRPr="00861634">
        <w:rPr>
          <w:rStyle w:val="None"/>
          <w:b/>
          <w:bCs/>
          <w:color w:val="auto"/>
          <w:sz w:val="20"/>
          <w:szCs w:val="20"/>
          <w:lang w:val="it-IT"/>
        </w:rPr>
        <w:t xml:space="preserve">Time </w:t>
      </w:r>
      <w:r w:rsidRPr="00861634">
        <w:rPr>
          <w:rStyle w:val="None"/>
          <w:b/>
          <w:bCs/>
          <w:color w:val="auto"/>
          <w:sz w:val="20"/>
          <w:szCs w:val="20"/>
        </w:rPr>
        <w:t>spent by respondents on daily chores, Hulu</w:t>
      </w:r>
    </w:p>
    <w:p w:rsidR="00D75975" w:rsidRPr="00861634" w:rsidRDefault="004B4F83" w:rsidP="00861634">
      <w:pPr>
        <w:pStyle w:val="BodyA"/>
        <w:spacing w:after="120"/>
        <w:rPr>
          <w:rStyle w:val="None"/>
          <w:color w:val="auto"/>
          <w:sz w:val="20"/>
          <w:szCs w:val="20"/>
          <w:u w:color="FF0000"/>
        </w:rPr>
      </w:pPr>
      <w:r w:rsidRPr="00861634">
        <w:rPr>
          <w:noProof/>
          <w:color w:val="auto"/>
          <w:sz w:val="20"/>
          <w:szCs w:val="20"/>
        </w:rPr>
        <w:drawing>
          <wp:inline distT="0" distB="0" distL="0" distR="0">
            <wp:extent cx="5165222" cy="1414969"/>
            <wp:effectExtent l="0" t="0" r="0" b="0"/>
            <wp:docPr id="1073741828" name="officeArt object"/>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D75975" w:rsidRPr="00861634" w:rsidRDefault="00D75975" w:rsidP="00861634">
      <w:pPr>
        <w:pStyle w:val="BodyA"/>
        <w:spacing w:after="120"/>
        <w:rPr>
          <w:rStyle w:val="None"/>
          <w:color w:val="auto"/>
          <w:sz w:val="20"/>
          <w:szCs w:val="20"/>
        </w:rPr>
      </w:pPr>
    </w:p>
    <w:p w:rsidR="00D75975" w:rsidRPr="00861634" w:rsidRDefault="004B4F83" w:rsidP="00861634">
      <w:pPr>
        <w:pStyle w:val="BodyA"/>
        <w:numPr>
          <w:ilvl w:val="0"/>
          <w:numId w:val="2"/>
        </w:numPr>
        <w:spacing w:after="120"/>
        <w:ind w:left="0" w:firstLine="0"/>
        <w:rPr>
          <w:color w:val="auto"/>
          <w:sz w:val="20"/>
          <w:szCs w:val="20"/>
        </w:rPr>
      </w:pPr>
      <w:r w:rsidRPr="00861634">
        <w:rPr>
          <w:rStyle w:val="None"/>
          <w:color w:val="auto"/>
          <w:sz w:val="20"/>
          <w:szCs w:val="20"/>
        </w:rPr>
        <w:t>Figure 3 and 4 above illustrate support the national findings that women in the rural areas spend on average 266 minutes a day on household chores and in addition to doing more household and child caring chores women also more substantially engage in unpaid work, which is at the expense of paid work. Women in rural areas spend approximately 42 percent of their 64 hours work week doing unpaid work, whereas men only spend 13.5 percent on un-paid work. The unpaid work in rural areas is often related to working on own land, indicating that women often are the ones managing and maintaining the households’ small farm plots and husbandry.</w:t>
      </w:r>
    </w:p>
    <w:p w:rsidR="00D75975" w:rsidRPr="00861634" w:rsidRDefault="00D75975" w:rsidP="00861634">
      <w:pPr>
        <w:pStyle w:val="BodyA"/>
        <w:spacing w:after="120"/>
        <w:rPr>
          <w:rStyle w:val="None"/>
          <w:b/>
          <w:bCs/>
          <w:color w:val="auto"/>
          <w:sz w:val="20"/>
          <w:szCs w:val="20"/>
        </w:rPr>
      </w:pPr>
    </w:p>
    <w:p w:rsidR="00D75975" w:rsidRPr="00861634" w:rsidRDefault="004B4F83" w:rsidP="00861634">
      <w:pPr>
        <w:pStyle w:val="BodyA"/>
        <w:spacing w:after="120"/>
        <w:rPr>
          <w:rStyle w:val="None"/>
          <w:b/>
          <w:bCs/>
          <w:color w:val="auto"/>
          <w:sz w:val="20"/>
          <w:szCs w:val="20"/>
        </w:rPr>
      </w:pPr>
      <w:r w:rsidRPr="00861634">
        <w:rPr>
          <w:rStyle w:val="None"/>
          <w:b/>
          <w:bCs/>
          <w:color w:val="auto"/>
          <w:sz w:val="20"/>
          <w:szCs w:val="20"/>
        </w:rPr>
        <w:t>Work and economic situation of women in the project demonstration areas.</w:t>
      </w:r>
    </w:p>
    <w:p w:rsidR="00D75975" w:rsidRPr="00861634" w:rsidRDefault="004B4F83" w:rsidP="00861634">
      <w:pPr>
        <w:pStyle w:val="BodyA"/>
        <w:numPr>
          <w:ilvl w:val="0"/>
          <w:numId w:val="2"/>
        </w:numPr>
        <w:spacing w:after="120"/>
        <w:ind w:left="0" w:firstLine="0"/>
        <w:jc w:val="both"/>
        <w:rPr>
          <w:color w:val="auto"/>
          <w:sz w:val="20"/>
          <w:szCs w:val="20"/>
        </w:rPr>
      </w:pPr>
      <w:r w:rsidRPr="00861634">
        <w:rPr>
          <w:rStyle w:val="None"/>
          <w:color w:val="auto"/>
          <w:sz w:val="20"/>
          <w:szCs w:val="20"/>
        </w:rPr>
        <w:t xml:space="preserve">Of the 3399 registered residents in </w:t>
      </w:r>
      <w:proofErr w:type="spellStart"/>
      <w:r w:rsidRPr="00861634">
        <w:rPr>
          <w:rStyle w:val="None"/>
          <w:color w:val="auto"/>
          <w:sz w:val="20"/>
          <w:szCs w:val="20"/>
        </w:rPr>
        <w:t>Longfei</w:t>
      </w:r>
      <w:proofErr w:type="spellEnd"/>
      <w:r w:rsidRPr="00861634">
        <w:rPr>
          <w:rStyle w:val="None"/>
          <w:color w:val="auto"/>
          <w:sz w:val="20"/>
          <w:szCs w:val="20"/>
        </w:rPr>
        <w:t xml:space="preserve"> village, which has 1196 households, 70% are between 15-64 years of age, while 12% and 18% are between 0-14 and above 65 years old respectively. 51% of the registered residents are women. However, while registered as residents in the village many men seek employment outside the village (and the county) and do therefore not take part in the village daily life and work. There are no available data on the actual women/man ratio for the village, but as men are often the ones to migrate for work, women make up for the larger village work-force. Approximately 40 % of the village labor force are long-term migrant workers, while another 25% have employment outside the village and commute every day. 35% are professional farmers. </w:t>
      </w:r>
    </w:p>
    <w:p w:rsidR="00D75975" w:rsidRPr="00861634" w:rsidRDefault="004B4F83" w:rsidP="00861634">
      <w:pPr>
        <w:pStyle w:val="BodyA"/>
        <w:numPr>
          <w:ilvl w:val="0"/>
          <w:numId w:val="2"/>
        </w:numPr>
        <w:spacing w:after="120"/>
        <w:ind w:left="0" w:firstLine="0"/>
        <w:jc w:val="both"/>
        <w:rPr>
          <w:color w:val="auto"/>
          <w:sz w:val="20"/>
          <w:szCs w:val="20"/>
        </w:rPr>
      </w:pPr>
      <w:r w:rsidRPr="00861634">
        <w:rPr>
          <w:rStyle w:val="None"/>
          <w:color w:val="auto"/>
          <w:sz w:val="20"/>
          <w:szCs w:val="20"/>
        </w:rPr>
        <w:t xml:space="preserve">In another village visited during the field mission the picture was similar. Out of the 3000 inhabitants originally registered in the village, more than 700 have left over the last years. Most men are migrant workers and as such are technically not part of the village community. Approximately 70% of the population are women and 80% of the young generation has left the village. The work undertaken on the land is predominantly done by women due to men’s migration for work away from the village. As for the work division, men and women are doing the same work. </w:t>
      </w:r>
    </w:p>
    <w:p w:rsidR="00D75975" w:rsidRPr="00861634" w:rsidRDefault="004B4F83" w:rsidP="00861634">
      <w:pPr>
        <w:pStyle w:val="BodyA"/>
        <w:numPr>
          <w:ilvl w:val="0"/>
          <w:numId w:val="2"/>
        </w:numPr>
        <w:spacing w:after="120"/>
        <w:ind w:left="0" w:firstLine="0"/>
        <w:jc w:val="both"/>
        <w:rPr>
          <w:color w:val="auto"/>
          <w:sz w:val="20"/>
          <w:szCs w:val="20"/>
        </w:rPr>
      </w:pPr>
      <w:r w:rsidRPr="00861634">
        <w:rPr>
          <w:rStyle w:val="None"/>
          <w:color w:val="auto"/>
          <w:sz w:val="20"/>
          <w:szCs w:val="20"/>
        </w:rPr>
        <w:t>In Hulu village, of the 2130 registered residents spread in 560 households, 56% are between 15-64 years of age, while 20% and 24% are between 0-14 and above 65 years old respectively. 48% of the registered residents are women. However, as in the other villages while registered as residents, many men seek employment outside the village (and the county) and do therefore not take part in the village daily life and work. There are no available data on the actual women/man ratio for the village, but as men are often the ones to migrate for work women make up for the larger village work-force. Approximately 32 % of the village labor force are long-term migrant workers, while another 28% have employment outside the village and commute every day. 40% are professional farmers. The surveys detected that women farmers do the same type of work as men farmers. At the same time more women from the villages are engaged in agriculture compared to men who opt more often for factory work in and out of the county.</w:t>
      </w:r>
    </w:p>
    <w:p w:rsidR="00D75975" w:rsidRPr="00861634" w:rsidRDefault="004B4F83" w:rsidP="00861634">
      <w:pPr>
        <w:pStyle w:val="BodyA"/>
        <w:numPr>
          <w:ilvl w:val="0"/>
          <w:numId w:val="2"/>
        </w:numPr>
        <w:spacing w:after="120"/>
        <w:ind w:left="0" w:firstLine="0"/>
        <w:jc w:val="both"/>
        <w:rPr>
          <w:color w:val="auto"/>
          <w:sz w:val="20"/>
          <w:szCs w:val="20"/>
        </w:rPr>
      </w:pPr>
      <w:r w:rsidRPr="00861634">
        <w:rPr>
          <w:rStyle w:val="None"/>
          <w:color w:val="auto"/>
          <w:sz w:val="20"/>
          <w:szCs w:val="20"/>
        </w:rPr>
        <w:t>These findings are again in line with the extrapolated data at national level stating that in the rural areas, females account for 70 percent of the population, many of which are ”left behind women” living in single parent households. And furthermore, support the national statistic claiming that in the rural areas the primary industries (mainly agriculture) make up 65.7 percent of all women employed.</w:t>
      </w:r>
    </w:p>
    <w:p w:rsidR="00D75975" w:rsidRPr="00861634" w:rsidRDefault="00D75975" w:rsidP="00861634">
      <w:pPr>
        <w:pStyle w:val="BodyA"/>
        <w:spacing w:after="120"/>
        <w:rPr>
          <w:rStyle w:val="None"/>
          <w:color w:val="auto"/>
          <w:sz w:val="20"/>
          <w:szCs w:val="20"/>
        </w:rPr>
      </w:pPr>
    </w:p>
    <w:p w:rsidR="00D75975" w:rsidRPr="00861634" w:rsidRDefault="004B4F83" w:rsidP="00861634">
      <w:pPr>
        <w:pStyle w:val="BodyA"/>
        <w:spacing w:after="120"/>
        <w:rPr>
          <w:rStyle w:val="None"/>
          <w:b/>
          <w:bCs/>
          <w:color w:val="auto"/>
          <w:sz w:val="20"/>
          <w:szCs w:val="20"/>
        </w:rPr>
      </w:pPr>
      <w:r w:rsidRPr="00861634">
        <w:rPr>
          <w:rStyle w:val="None"/>
          <w:b/>
          <w:bCs/>
          <w:color w:val="auto"/>
          <w:sz w:val="20"/>
          <w:szCs w:val="20"/>
        </w:rPr>
        <w:t>Women’s participation in decision-making and leadership in the project demonstration areas.</w:t>
      </w:r>
    </w:p>
    <w:p w:rsidR="00D75975" w:rsidRPr="00861634" w:rsidRDefault="004B4F83" w:rsidP="00861634">
      <w:pPr>
        <w:pStyle w:val="BodyA"/>
        <w:numPr>
          <w:ilvl w:val="0"/>
          <w:numId w:val="2"/>
        </w:numPr>
        <w:spacing w:after="120"/>
        <w:ind w:left="0" w:firstLine="0"/>
        <w:jc w:val="both"/>
        <w:rPr>
          <w:color w:val="auto"/>
          <w:sz w:val="20"/>
          <w:szCs w:val="20"/>
        </w:rPr>
      </w:pPr>
      <w:r w:rsidRPr="00861634">
        <w:rPr>
          <w:rStyle w:val="None"/>
          <w:color w:val="auto"/>
          <w:sz w:val="20"/>
          <w:szCs w:val="20"/>
        </w:rPr>
        <w:t xml:space="preserve">In </w:t>
      </w:r>
      <w:proofErr w:type="spellStart"/>
      <w:r w:rsidRPr="00861634">
        <w:rPr>
          <w:rStyle w:val="None"/>
          <w:color w:val="auto"/>
          <w:sz w:val="20"/>
          <w:szCs w:val="20"/>
        </w:rPr>
        <w:t>Langfei</w:t>
      </w:r>
      <w:proofErr w:type="spellEnd"/>
      <w:r w:rsidRPr="00861634">
        <w:rPr>
          <w:rStyle w:val="None"/>
          <w:color w:val="auto"/>
          <w:sz w:val="20"/>
          <w:szCs w:val="20"/>
        </w:rPr>
        <w:t xml:space="preserve"> women account for 40% of all cumulative leadership positions in the village with the highest-ranking post occupied by a women being that of a vice director. In Hulu that number is 25 % and the highest-ranking post occupied by a women is </w:t>
      </w:r>
      <w:r w:rsidRPr="00861634">
        <w:rPr>
          <w:rStyle w:val="None"/>
          <w:color w:val="auto"/>
          <w:sz w:val="20"/>
          <w:szCs w:val="20"/>
          <w:lang w:val="es-ES_tradnl"/>
        </w:rPr>
        <w:t>director</w:t>
      </w:r>
      <w:r w:rsidRPr="00861634">
        <w:rPr>
          <w:rStyle w:val="None"/>
          <w:color w:val="auto"/>
          <w:sz w:val="20"/>
          <w:szCs w:val="20"/>
        </w:rPr>
        <w:t>. The situation with women’s participation in decision-making and leadership in the project demonstration areas is consistent with the picture at national level where efforts are being made to fulfill the provisions of the thirteen Five-Year plan (2016-2020) to involve more women in decision-making and management and of the program for the Development of Chinese Women (2011-2020) to have more than 30 percent women in the village committees and female committee heads to exceed 10 percent by the end of the program. While at the same time although women in village committees are on the rise, these committees are still predominantly male and a nationwide trait is that a little more than one fifth in the village committees is female representation.</w:t>
      </w:r>
    </w:p>
    <w:p w:rsidR="00D75975" w:rsidRPr="00861634" w:rsidRDefault="00D75975" w:rsidP="00861634">
      <w:pPr>
        <w:pStyle w:val="BodyA"/>
        <w:spacing w:after="120"/>
        <w:jc w:val="both"/>
        <w:rPr>
          <w:rStyle w:val="None"/>
          <w:color w:val="auto"/>
          <w:sz w:val="20"/>
          <w:szCs w:val="20"/>
        </w:rPr>
      </w:pPr>
    </w:p>
    <w:p w:rsidR="00D75975" w:rsidRPr="00861634" w:rsidRDefault="004B4F83" w:rsidP="00861634">
      <w:pPr>
        <w:pStyle w:val="BodyA"/>
        <w:spacing w:after="120"/>
        <w:rPr>
          <w:rStyle w:val="None"/>
          <w:b/>
          <w:bCs/>
          <w:color w:val="auto"/>
          <w:sz w:val="20"/>
          <w:szCs w:val="20"/>
        </w:rPr>
      </w:pPr>
      <w:r w:rsidRPr="00861634">
        <w:rPr>
          <w:rStyle w:val="None"/>
          <w:b/>
          <w:bCs/>
          <w:color w:val="auto"/>
          <w:sz w:val="20"/>
          <w:szCs w:val="20"/>
        </w:rPr>
        <w:t>Women, agrobiodiversity and IAS management in the project demonstration area.</w:t>
      </w:r>
    </w:p>
    <w:p w:rsidR="00D75975" w:rsidRPr="00861634" w:rsidRDefault="004B4F83" w:rsidP="00861634">
      <w:pPr>
        <w:pStyle w:val="BodyA"/>
        <w:numPr>
          <w:ilvl w:val="0"/>
          <w:numId w:val="2"/>
        </w:numPr>
        <w:spacing w:after="120"/>
        <w:ind w:left="0" w:firstLine="0"/>
        <w:jc w:val="both"/>
        <w:rPr>
          <w:color w:val="auto"/>
          <w:sz w:val="20"/>
          <w:szCs w:val="20"/>
        </w:rPr>
      </w:pPr>
      <w:r w:rsidRPr="00861634">
        <w:rPr>
          <w:rStyle w:val="None"/>
          <w:color w:val="auto"/>
          <w:sz w:val="20"/>
          <w:szCs w:val="20"/>
        </w:rPr>
        <w:t>It has been recognized by the Chinese Government that for the effective prevention, control and management of alien invasive species there is a strong need to involve local stakeholders and the farming communities in particular. As part of the overall efforts, the government has engaged in mass-dissemination information of IAS PCM technologies. A key outlet for knowledge sharing and capacity building have been the trainings provided to local authorities and extensions services, as well as to farmers through 28 national IAS PCM projects and programs. More than 800 training courses have been held and 300,000 people trained in the past five years. But while a substantial number of farmers and general public have been reached through the Government efforts, a much larger part of the Chinese population is still not well informed. As is the case of the three villages in the project demonstration areas where however, as with farmers elsewhere in the country, there is a clear understanding of IAS effects and impact on farmers' own fields and that of their neighbors. But the IAS, in this connection, is just viewed as another pest or weed and is therefore generally dealt with as any other pest/weed, and farmers are unaware of that for instance, the removal techniques used might facilitate the spread of the IAS. As farmers in broad terms see the IAS as just a different pest/weed, they do not seek to identify (or request assistance for) better control and management techniques for the specie/s in question, particularly in the early stages of the infestation. Also, as the aggressiveness of many IAS is not fully recognized, farmers tend to only deal with the IAS which have entered their fields and would leave IAS in the land surrounding the field. This means that the IAS is free to spread unattended in the areas which are considered public.</w:t>
      </w:r>
    </w:p>
    <w:p w:rsidR="00D75975" w:rsidRPr="00861634" w:rsidRDefault="004B4F83" w:rsidP="00861634">
      <w:pPr>
        <w:pStyle w:val="ListParagraph"/>
        <w:numPr>
          <w:ilvl w:val="0"/>
          <w:numId w:val="3"/>
        </w:numPr>
        <w:spacing w:after="120"/>
        <w:ind w:left="0" w:firstLine="0"/>
        <w:jc w:val="both"/>
        <w:rPr>
          <w:rFonts w:ascii="Calibri" w:eastAsia="Calibri" w:hAnsi="Calibri" w:cs="Calibri"/>
          <w:color w:val="auto"/>
          <w:sz w:val="20"/>
          <w:szCs w:val="20"/>
        </w:rPr>
      </w:pPr>
      <w:r w:rsidRPr="00861634">
        <w:rPr>
          <w:rStyle w:val="None"/>
          <w:rFonts w:ascii="Calibri" w:eastAsia="Calibri" w:hAnsi="Calibri" w:cs="Calibri"/>
          <w:color w:val="auto"/>
          <w:sz w:val="20"/>
          <w:szCs w:val="20"/>
        </w:rPr>
        <w:t xml:space="preserve">The surveys conducted during the visits to the three villages from the project demonstration area found that the inhabitants in </w:t>
      </w:r>
      <w:proofErr w:type="spellStart"/>
      <w:r w:rsidRPr="00861634">
        <w:rPr>
          <w:rStyle w:val="None"/>
          <w:rFonts w:ascii="Calibri" w:eastAsia="Calibri" w:hAnsi="Calibri" w:cs="Calibri"/>
          <w:color w:val="auto"/>
          <w:sz w:val="20"/>
          <w:szCs w:val="20"/>
        </w:rPr>
        <w:t>Longfei</w:t>
      </w:r>
      <w:proofErr w:type="spellEnd"/>
      <w:r w:rsidRPr="00861634">
        <w:rPr>
          <w:rStyle w:val="None"/>
          <w:rFonts w:ascii="Calibri" w:eastAsia="Calibri" w:hAnsi="Calibri" w:cs="Calibri"/>
          <w:color w:val="auto"/>
          <w:sz w:val="20"/>
          <w:szCs w:val="20"/>
        </w:rPr>
        <w:t xml:space="preserve"> village have not received any agricultural technology training in the last five years, but the Chongqing Bishan District Human Resources and Social Security Administration did organize a “housekeeping training” specialized for women where 47 women attended. In Hulu village a technology training on general farming issues planting and technical pest control has been held, but neither IAS specific trainings nor trainings specialized for women have been provided. The provision of trainings provided at village level can vary and in one of the villages visited during the field mission two different “Vegetables and fruit-bearing forest planting-technology” trainings had been held, which was attended by 60 people (40 women/20 men) and 80 people (50 women/30 men) respectively, and the villagers themselves organized a “Chinese honeybee apiculture technology” training attended by 194 people (110 women/84 men). Furthermore, the villages informed the team that invasive species prevention and control trainings have been provided in the village some years back.</w:t>
      </w:r>
    </w:p>
    <w:p w:rsidR="00D75975" w:rsidRPr="00861634" w:rsidRDefault="00D75975" w:rsidP="00861634">
      <w:pPr>
        <w:pStyle w:val="Body"/>
        <w:tabs>
          <w:tab w:val="left" w:pos="3960"/>
        </w:tabs>
        <w:spacing w:after="120"/>
        <w:jc w:val="both"/>
        <w:rPr>
          <w:rStyle w:val="None"/>
          <w:rFonts w:ascii="Calibri" w:eastAsia="Calibri" w:hAnsi="Calibri" w:cs="Calibri"/>
          <w:color w:val="auto"/>
          <w:sz w:val="20"/>
          <w:szCs w:val="20"/>
        </w:rPr>
      </w:pPr>
    </w:p>
    <w:p w:rsidR="00D75975" w:rsidRPr="00861634" w:rsidRDefault="004B4F83" w:rsidP="00861634">
      <w:pPr>
        <w:pStyle w:val="ListParagraph"/>
        <w:tabs>
          <w:tab w:val="left" w:pos="3960"/>
        </w:tabs>
        <w:spacing w:after="120"/>
        <w:ind w:left="0"/>
        <w:jc w:val="both"/>
        <w:rPr>
          <w:rStyle w:val="None"/>
          <w:rFonts w:ascii="Calibri" w:eastAsia="Calibri" w:hAnsi="Calibri" w:cs="Calibri"/>
          <w:b/>
          <w:bCs/>
          <w:color w:val="auto"/>
          <w:sz w:val="20"/>
          <w:szCs w:val="20"/>
        </w:rPr>
      </w:pPr>
      <w:r w:rsidRPr="00861634">
        <w:rPr>
          <w:rStyle w:val="None"/>
          <w:rFonts w:ascii="Calibri" w:eastAsia="Calibri" w:hAnsi="Calibri" w:cs="Calibri"/>
          <w:b/>
          <w:bCs/>
          <w:color w:val="auto"/>
          <w:sz w:val="20"/>
          <w:szCs w:val="20"/>
        </w:rPr>
        <w:t>Conclusions.</w:t>
      </w:r>
    </w:p>
    <w:p w:rsidR="00D75975" w:rsidRPr="00861634" w:rsidRDefault="004B4F83" w:rsidP="00861634">
      <w:pPr>
        <w:pStyle w:val="ListParagraph"/>
        <w:numPr>
          <w:ilvl w:val="0"/>
          <w:numId w:val="3"/>
        </w:numPr>
        <w:spacing w:after="120"/>
        <w:ind w:left="0" w:firstLine="0"/>
        <w:jc w:val="both"/>
        <w:rPr>
          <w:rFonts w:ascii="Calibri" w:eastAsia="Calibri" w:hAnsi="Calibri" w:cs="Calibri"/>
          <w:color w:val="auto"/>
          <w:sz w:val="20"/>
          <w:szCs w:val="20"/>
        </w:rPr>
      </w:pPr>
      <w:r w:rsidRPr="00861634">
        <w:rPr>
          <w:rStyle w:val="None"/>
          <w:rFonts w:ascii="Calibri" w:eastAsia="Calibri" w:hAnsi="Calibri" w:cs="Calibri"/>
          <w:color w:val="auto"/>
          <w:sz w:val="20"/>
          <w:szCs w:val="20"/>
        </w:rPr>
        <w:t>In conclusion it could be summarized that the situation of women at local level in the project demonstration area mirrors the patterns found at national and regional levels. While legislation for protection of women’s rights and interests is in place and efforts are being made towards mainstreaming of women and narrowing the gender inequality in education, employment, decision-making and management and representation in local social life and governance, substantial gaps and disparities exist and further efforts are needed to advance the situation of women and rural women in particular towards gender equality. In terms of meeting the project’s objectives related to IAS control and management education, trainings and awareness raising are indispensable tools. In that light, it would be important to adopt specific approaches to empower rural women to engage with preserving the environment and promote agrobiodiversity in their local areas.</w:t>
      </w:r>
    </w:p>
    <w:p w:rsidR="00D75975" w:rsidRPr="00861634" w:rsidRDefault="00D75975" w:rsidP="00861634">
      <w:pPr>
        <w:pStyle w:val="Body"/>
        <w:spacing w:after="120"/>
        <w:rPr>
          <w:rFonts w:ascii="Calibri" w:eastAsia="Calibri" w:hAnsi="Calibri" w:cs="Calibri"/>
          <w:b/>
          <w:bCs/>
          <w:color w:val="auto"/>
          <w:sz w:val="20"/>
          <w:szCs w:val="20"/>
        </w:rPr>
      </w:pPr>
    </w:p>
    <w:p w:rsidR="00D75975" w:rsidRPr="00861634" w:rsidRDefault="004B4F83" w:rsidP="00861634">
      <w:pPr>
        <w:pStyle w:val="ListParagraph"/>
        <w:spacing w:after="120"/>
        <w:ind w:left="0"/>
        <w:rPr>
          <w:rStyle w:val="None"/>
          <w:rFonts w:ascii="Calibri" w:eastAsia="Calibri" w:hAnsi="Calibri" w:cs="Calibri"/>
          <w:b/>
          <w:bCs/>
          <w:color w:val="auto"/>
          <w:sz w:val="20"/>
          <w:szCs w:val="20"/>
        </w:rPr>
      </w:pPr>
      <w:r w:rsidRPr="00861634">
        <w:rPr>
          <w:rStyle w:val="None"/>
          <w:rFonts w:ascii="Calibri" w:eastAsia="Calibri" w:hAnsi="Calibri" w:cs="Calibri"/>
          <w:b/>
          <w:bCs/>
          <w:color w:val="auto"/>
          <w:sz w:val="20"/>
          <w:szCs w:val="20"/>
        </w:rPr>
        <w:t xml:space="preserve">IAS projects </w:t>
      </w:r>
      <w:r w:rsidRPr="00861634">
        <w:rPr>
          <w:rStyle w:val="None"/>
          <w:rFonts w:ascii="Calibri" w:eastAsia="Calibri" w:hAnsi="Calibri" w:cs="Calibri"/>
          <w:b/>
          <w:bCs/>
          <w:color w:val="auto"/>
          <w:sz w:val="20"/>
          <w:szCs w:val="20"/>
          <w:u w:color="FF0000"/>
        </w:rPr>
        <w:t>gender actions and strategies</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Style w:val="None"/>
          <w:rFonts w:ascii="Calibri" w:eastAsia="Calibri" w:hAnsi="Calibri" w:cs="Calibri"/>
          <w:color w:val="auto"/>
          <w:sz w:val="20"/>
          <w:szCs w:val="20"/>
          <w:u w:color="FF0000"/>
        </w:rPr>
        <w:t xml:space="preserve">It is within the above setting, achievements and shortcomings alike, that the IAS project is to be implemented, and is mandated to ensure the promotion of gender equality and the mainstreaming of women to the extent possible within the overall frame of meeting the project objective which is to “Support the implementation of the Sustainable Development Goals and China’s National Plan for Sustainable Development of Agriculture (2015-2030) by improving the prevention, control and management of invasive alien species (IAS)”. </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Style w:val="None"/>
          <w:rFonts w:ascii="Calibri" w:eastAsia="Calibri" w:hAnsi="Calibri" w:cs="Calibri"/>
          <w:color w:val="auto"/>
          <w:sz w:val="20"/>
          <w:szCs w:val="20"/>
          <w:u w:color="FF0000"/>
        </w:rPr>
        <w:t xml:space="preserve">In the analysis of how to adequately integrate gender equality and the mainstreaming of women into the project design and implementation, the project outcomes, outputs and planned activities were reviewed through the specific lens of how the actions, to be undertaken, could be supporting women’s advancement. In many incidences the findings can appear generic. But creating a setup and </w:t>
      </w:r>
      <w:r w:rsidRPr="00861634">
        <w:rPr>
          <w:rFonts w:ascii="Calibri" w:eastAsia="Calibri" w:hAnsi="Calibri" w:cs="Calibri"/>
          <w:color w:val="auto"/>
          <w:sz w:val="20"/>
          <w:szCs w:val="20"/>
        </w:rPr>
        <w:t xml:space="preserve">modus operandi which curbs gender bias and creates a level playing field, is not only an important first step. It is also an important backbone that will move the agenda of gender sensitivity within the project, but also outside the project’s sphere. </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Style w:val="None"/>
          <w:rFonts w:ascii="Calibri" w:eastAsia="Calibri" w:hAnsi="Calibri" w:cs="Calibri"/>
          <w:color w:val="auto"/>
          <w:sz w:val="20"/>
          <w:szCs w:val="20"/>
          <w:u w:color="FF0000"/>
        </w:rPr>
        <w:t xml:space="preserve">It was identified that all of the project’s created bodies, such as the project steering committee, project task forces and committee groups as well as the national IAS coordinating group, and its associated provincial and local coordinating groups, should to the extent possible have an equal representation of men and women. It was however, also recognized that setting a 50/50 target or any other target might not be realistic as representatives in these bodies in most cases would be position related, and particularly senior level positions are still, in China, male dominated. This should however, not stop the project from stipulating that the entities (project steering committee etc.) should aspire to have a gender balance in its composition. </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Style w:val="None"/>
          <w:rFonts w:ascii="Calibri" w:eastAsia="Calibri" w:hAnsi="Calibri" w:cs="Calibri"/>
          <w:color w:val="auto"/>
          <w:sz w:val="20"/>
          <w:szCs w:val="20"/>
          <w:u w:color="FF0000"/>
        </w:rPr>
        <w:t>It was further identified that for all of the posts that are to be seconded or hired, including through co-financing, an overall gender balance should be ensured, and the mainstreaming of women should be pursued. A key tool in this would be to include in the TORs for the relevant positions and selection protocols that the position is an equal opportunity position and that females are encouraged to apply. For secondments, for which there generally is not an application process, the general guidelines should state that in the secondment process both men and women should be equally considered.</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Style w:val="None"/>
          <w:rFonts w:ascii="Calibri" w:eastAsia="Calibri" w:hAnsi="Calibri" w:cs="Calibri"/>
          <w:color w:val="auto"/>
          <w:sz w:val="20"/>
          <w:szCs w:val="20"/>
          <w:u w:color="FF0000"/>
        </w:rPr>
        <w:t>Regardless of whether an approach which facilitates women’s inclusion into the project paid long-term and short-term positions, TORs should all, as a minimum, note that the position is an equal opportunity position and that females are encouraged to apply.</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Style w:val="None"/>
          <w:rFonts w:ascii="Calibri" w:eastAsia="Calibri" w:hAnsi="Calibri" w:cs="Calibri"/>
          <w:color w:val="auto"/>
          <w:sz w:val="20"/>
          <w:szCs w:val="20"/>
          <w:u w:color="FF0000"/>
        </w:rPr>
        <w:t xml:space="preserve">For project trainings there should be a requirement of 50/50 men/women participation. While this should be an overall target for all of the project’s 12,000 government staff who are to be trained (i.e. 6,000 women and 6,000 men) and the 6,000 farmers (i.e. 3,000 women and 3,000 men). To ensure that this is being achieved, care should be taken in inviting both men and women in equal proportions and perhaps even inviting more women than men. In the invitations, to the relevant institutions and organizations etc., it should be stressed that gender equality and mainstreaming of women are important issues and therefore the institutions and organizations etc. should take this under advisement when selecting/recommending candidates. </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Style w:val="None"/>
          <w:rFonts w:ascii="Calibri" w:eastAsia="Calibri" w:hAnsi="Calibri" w:cs="Calibri"/>
          <w:color w:val="auto"/>
          <w:sz w:val="20"/>
          <w:szCs w:val="20"/>
          <w:u w:color="FF0000"/>
        </w:rPr>
        <w:t>The project should also look at how to provide trainings. For instance, it has been shown that when having uniform groups (for instance only women) trainings have different impact and process compared to when the training is provided to a mixed group. Also, as there is a traditional gender bias particularly in the rural areas, there could be a tendency that the most vocal and engaging members in the training are men, providing less benefit for the attending women. Therefore, where there are repeating trainings using the same curricular, it would be possible to provide all female trainings (and all men trainings for that matter). When looking at the possibility to have single gender trainings, the project at the same time has to also look at this from the logistical and economic points of view, and it is therefore not always feasible to split trainings up in female and male streams. Nonetheless, exclusive training of female groups should be actively sought where ever possible.</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Style w:val="None"/>
          <w:rFonts w:ascii="Calibri" w:eastAsia="Calibri" w:hAnsi="Calibri" w:cs="Calibri"/>
          <w:color w:val="auto"/>
          <w:sz w:val="20"/>
          <w:szCs w:val="20"/>
          <w:u w:color="FF0000"/>
        </w:rPr>
        <w:t xml:space="preserve">With regard to the project trainings it was also identified that, particularly in the rural areas, it would be beneficial to focus on younger women (under 35), as many of the women in the villages, for instance, are married women with a lower education level (junior high school or high school), and their participation in trainings could, aside from increasing their knowledge and qualifications, increase their status within their community.    </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Style w:val="None"/>
          <w:rFonts w:ascii="Calibri" w:eastAsia="Calibri" w:hAnsi="Calibri" w:cs="Calibri"/>
          <w:color w:val="auto"/>
          <w:sz w:val="20"/>
          <w:szCs w:val="20"/>
          <w:u w:color="FF0000"/>
        </w:rPr>
        <w:t>As for the trainings, it is important, in their design, planning and execution, to ensure that they have a gender aspect and mainstream women.</w:t>
      </w:r>
      <w:r w:rsidRPr="00861634">
        <w:rPr>
          <w:rFonts w:ascii="Calibri" w:eastAsia="Calibri" w:hAnsi="Calibri" w:cs="Calibri"/>
          <w:color w:val="auto"/>
          <w:sz w:val="20"/>
          <w:szCs w:val="20"/>
        </w:rPr>
        <w:t xml:space="preserve"> T</w:t>
      </w:r>
      <w:r w:rsidRPr="00861634">
        <w:rPr>
          <w:rStyle w:val="None"/>
          <w:rFonts w:ascii="Calibri" w:eastAsia="Calibri" w:hAnsi="Calibri" w:cs="Calibri"/>
          <w:color w:val="auto"/>
          <w:sz w:val="20"/>
          <w:szCs w:val="20"/>
          <w:u w:color="FF0000"/>
        </w:rPr>
        <w:t>herefore, an important underlying task for the project, in its communication with stakeholders (and training participants – and their organizations), is to clearly specify the project’s gender focus and give directions to stakeholders on how best they can assist the project in assuring this.</w:t>
      </w:r>
      <w:r w:rsidRPr="00861634">
        <w:rPr>
          <w:rFonts w:ascii="Calibri" w:eastAsia="Calibri" w:hAnsi="Calibri" w:cs="Calibri"/>
          <w:color w:val="auto"/>
          <w:sz w:val="20"/>
          <w:szCs w:val="20"/>
        </w:rPr>
        <w:t xml:space="preserve"> </w:t>
      </w:r>
    </w:p>
    <w:p w:rsidR="00D75975" w:rsidRPr="00861634" w:rsidRDefault="00D75975" w:rsidP="00861634">
      <w:pPr>
        <w:pStyle w:val="Body"/>
        <w:spacing w:after="120"/>
        <w:rPr>
          <w:rFonts w:ascii="Calibri" w:eastAsia="Calibri" w:hAnsi="Calibri" w:cs="Calibri"/>
          <w:color w:val="auto"/>
          <w:sz w:val="20"/>
          <w:szCs w:val="20"/>
        </w:rPr>
      </w:pPr>
    </w:p>
    <w:p w:rsidR="00D75975" w:rsidRPr="00861634" w:rsidRDefault="004B4F83" w:rsidP="00861634">
      <w:pPr>
        <w:pStyle w:val="ListParagraph"/>
        <w:spacing w:after="120"/>
        <w:ind w:left="0"/>
        <w:rPr>
          <w:rStyle w:val="None"/>
          <w:rFonts w:ascii="Calibri" w:eastAsia="Calibri" w:hAnsi="Calibri" w:cs="Calibri"/>
          <w:b/>
          <w:bCs/>
          <w:color w:val="auto"/>
          <w:sz w:val="20"/>
          <w:szCs w:val="20"/>
          <w:u w:color="FF0000"/>
        </w:rPr>
      </w:pPr>
      <w:r w:rsidRPr="00861634">
        <w:rPr>
          <w:rStyle w:val="None"/>
          <w:rFonts w:ascii="Calibri" w:eastAsia="Calibri" w:hAnsi="Calibri" w:cs="Calibri"/>
          <w:b/>
          <w:bCs/>
          <w:color w:val="auto"/>
          <w:sz w:val="20"/>
          <w:szCs w:val="20"/>
        </w:rPr>
        <w:t>IAS project’s G</w:t>
      </w:r>
      <w:r w:rsidRPr="00861634">
        <w:rPr>
          <w:rStyle w:val="None"/>
          <w:rFonts w:ascii="Calibri" w:eastAsia="Calibri" w:hAnsi="Calibri" w:cs="Calibri"/>
          <w:b/>
          <w:bCs/>
          <w:color w:val="auto"/>
          <w:sz w:val="20"/>
          <w:szCs w:val="20"/>
          <w:u w:color="FF0000"/>
        </w:rPr>
        <w:t xml:space="preserve">ender Action Plan </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Style w:val="None"/>
          <w:rFonts w:ascii="Calibri" w:eastAsia="Calibri" w:hAnsi="Calibri" w:cs="Calibri"/>
          <w:b/>
          <w:bCs/>
          <w:color w:val="auto"/>
          <w:sz w:val="20"/>
          <w:szCs w:val="20"/>
          <w:u w:color="FF0000"/>
        </w:rPr>
        <w:t>A</w:t>
      </w:r>
      <w:r w:rsidRPr="00861634">
        <w:rPr>
          <w:rFonts w:ascii="Calibri" w:eastAsia="Calibri" w:hAnsi="Calibri" w:cs="Calibri"/>
          <w:color w:val="auto"/>
          <w:sz w:val="20"/>
          <w:szCs w:val="20"/>
        </w:rPr>
        <w:t xml:space="preserve"> key step in ensuring that the project’s strategy for gender equality and mainstreaming of women is observed during the project implementation is the proactive promotion of women’s involvement in all stages of the project and endorsing gender equality in all aspects of project’s activities. As part of the efforts to achieve this, the project will strictly monitor and record project gender disaggregated information and data where possible, as well as report on the project’s ability to meet the strategic directions. While this monitoring will be  mainly part of the PMO responsibilities, a Gender Specialist will also be hired on a short-term contract to gather and review throughout the project gender related project data and provide the project with guidance and suggestions as to how to optimize its performance with regard to gender and the mainstreaming of women in project activities and organizational set-ups. The strategic approach to mainstreaming women during project’s implementation will not only ensure active participation of women but will also have a larger and longer term impact by setting best practices for mainstreaming of women and by driving stakeholders’ values and attitudes towards embracing gender equality as the norm.</w:t>
      </w:r>
    </w:p>
    <w:p w:rsidR="00D75975" w:rsidRPr="00861634" w:rsidRDefault="004B4F83" w:rsidP="00861634">
      <w:pPr>
        <w:pStyle w:val="ListParagraph"/>
        <w:numPr>
          <w:ilvl w:val="0"/>
          <w:numId w:val="2"/>
        </w:numPr>
        <w:spacing w:after="120"/>
        <w:ind w:left="0" w:firstLine="0"/>
        <w:rPr>
          <w:rFonts w:ascii="Calibri" w:eastAsia="Calibri" w:hAnsi="Calibri" w:cs="Calibri"/>
          <w:color w:val="auto"/>
          <w:sz w:val="20"/>
          <w:szCs w:val="20"/>
        </w:rPr>
      </w:pPr>
      <w:r w:rsidRPr="00861634">
        <w:rPr>
          <w:rFonts w:ascii="Calibri" w:eastAsia="Calibri" w:hAnsi="Calibri" w:cs="Calibri"/>
          <w:color w:val="auto"/>
          <w:sz w:val="20"/>
          <w:szCs w:val="20"/>
        </w:rPr>
        <w:t xml:space="preserve">The below project gender action plan (table 1) briefly outlines the gender related engagements which are to be undertaken as part of the project implementation. </w:t>
      </w:r>
    </w:p>
    <w:p w:rsidR="002F68F5" w:rsidRPr="00861634" w:rsidRDefault="002F68F5" w:rsidP="00861634">
      <w:pPr>
        <w:pStyle w:val="ListParagraph"/>
        <w:spacing w:after="120"/>
        <w:ind w:left="0"/>
        <w:rPr>
          <w:rFonts w:ascii="Calibri" w:eastAsia="Calibri" w:hAnsi="Calibri" w:cs="Calibri"/>
          <w:color w:val="auto"/>
          <w:sz w:val="20"/>
          <w:szCs w:val="20"/>
        </w:rPr>
      </w:pPr>
    </w:p>
    <w:p w:rsidR="00D75975" w:rsidRPr="00861634" w:rsidRDefault="004B4F83" w:rsidP="00861634">
      <w:pPr>
        <w:pStyle w:val="Body"/>
        <w:spacing w:after="120"/>
        <w:rPr>
          <w:rStyle w:val="None"/>
          <w:rFonts w:ascii="Calibri" w:eastAsia="Calibri" w:hAnsi="Calibri" w:cs="Calibri"/>
          <w:b/>
          <w:bCs/>
          <w:color w:val="auto"/>
          <w:sz w:val="20"/>
          <w:szCs w:val="20"/>
        </w:rPr>
      </w:pPr>
      <w:r w:rsidRPr="00861634">
        <w:rPr>
          <w:rStyle w:val="None"/>
          <w:rFonts w:ascii="Calibri" w:eastAsia="Calibri" w:hAnsi="Calibri" w:cs="Calibri"/>
          <w:b/>
          <w:bCs/>
          <w:color w:val="auto"/>
          <w:sz w:val="20"/>
          <w:szCs w:val="20"/>
        </w:rPr>
        <w:t>Table 1: Project Gender Action Plan</w:t>
      </w:r>
    </w:p>
    <w:tbl>
      <w:tblPr>
        <w:tblW w:w="901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4472C4"/>
        <w:tblLayout w:type="fixed"/>
        <w:tblLook w:val="04A0" w:firstRow="1" w:lastRow="0" w:firstColumn="1" w:lastColumn="0" w:noHBand="0" w:noVBand="1"/>
      </w:tblPr>
      <w:tblGrid>
        <w:gridCol w:w="2686"/>
        <w:gridCol w:w="3558"/>
        <w:gridCol w:w="2766"/>
      </w:tblGrid>
      <w:tr w:rsidR="004B4F83" w:rsidRPr="00250244" w:rsidTr="00861634">
        <w:trPr>
          <w:trHeight w:val="99"/>
          <w:tblHeader/>
        </w:trPr>
        <w:tc>
          <w:tcPr>
            <w:tcW w:w="2686" w:type="dxa"/>
            <w:tcBorders>
              <w:top w:val="single" w:sz="4" w:space="0" w:color="000000"/>
              <w:left w:val="single" w:sz="4" w:space="0" w:color="000000"/>
              <w:bottom w:val="single" w:sz="4" w:space="0" w:color="000000"/>
              <w:right w:val="single" w:sz="4" w:space="0" w:color="000000"/>
            </w:tcBorders>
            <w:shd w:val="clear" w:color="auto" w:fill="8EAADB"/>
            <w:tcMar>
              <w:top w:w="80" w:type="dxa"/>
              <w:left w:w="80" w:type="dxa"/>
              <w:bottom w:w="80" w:type="dxa"/>
              <w:right w:w="80" w:type="dxa"/>
            </w:tcMar>
          </w:tcPr>
          <w:p w:rsidR="00D75975" w:rsidRPr="00250244" w:rsidRDefault="00D75975" w:rsidP="00861634">
            <w:pPr>
              <w:rPr>
                <w:rFonts w:ascii="Calibri" w:hAnsi="Calibri" w:cs="Calibri"/>
                <w:sz w:val="18"/>
                <w:szCs w:val="18"/>
              </w:rPr>
            </w:pPr>
          </w:p>
        </w:tc>
        <w:tc>
          <w:tcPr>
            <w:tcW w:w="3558" w:type="dxa"/>
            <w:tcBorders>
              <w:top w:val="single" w:sz="4" w:space="0" w:color="000000"/>
              <w:left w:val="single" w:sz="4" w:space="0" w:color="000000"/>
              <w:bottom w:val="single" w:sz="4" w:space="0" w:color="000000"/>
              <w:right w:val="single" w:sz="4" w:space="0" w:color="000000"/>
            </w:tcBorders>
            <w:shd w:val="clear" w:color="auto" w:fill="8EAADB"/>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b/>
                <w:bCs/>
                <w:color w:val="auto"/>
                <w:sz w:val="18"/>
                <w:szCs w:val="18"/>
              </w:rPr>
              <w:t>Task</w:t>
            </w:r>
          </w:p>
        </w:tc>
        <w:tc>
          <w:tcPr>
            <w:tcW w:w="2766" w:type="dxa"/>
            <w:tcBorders>
              <w:top w:val="single" w:sz="4" w:space="0" w:color="000000"/>
              <w:left w:val="single" w:sz="4" w:space="0" w:color="000000"/>
              <w:bottom w:val="single" w:sz="4" w:space="0" w:color="000000"/>
              <w:right w:val="single" w:sz="4" w:space="0" w:color="000000"/>
            </w:tcBorders>
            <w:shd w:val="clear" w:color="auto" w:fill="8EAADB"/>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b/>
                <w:bCs/>
                <w:color w:val="auto"/>
                <w:sz w:val="18"/>
                <w:szCs w:val="18"/>
              </w:rPr>
              <w:t>Timing</w:t>
            </w:r>
          </w:p>
        </w:tc>
      </w:tr>
      <w:tr w:rsidR="004B4F83" w:rsidRPr="00250244" w:rsidTr="008B2ED3">
        <w:tblPrEx>
          <w:shd w:val="clear" w:color="auto" w:fill="CDD4E9"/>
        </w:tblPrEx>
        <w:trPr>
          <w:trHeight w:val="22"/>
        </w:trPr>
        <w:tc>
          <w:tcPr>
            <w:tcW w:w="2686" w:type="dxa"/>
            <w:tcBorders>
              <w:top w:val="single" w:sz="4" w:space="0" w:color="000000"/>
              <w:left w:val="single" w:sz="4" w:space="0" w:color="000000"/>
              <w:bottom w:val="single" w:sz="4" w:space="0" w:color="000000"/>
              <w:right w:val="single" w:sz="4" w:space="0" w:color="000000"/>
            </w:tcBorders>
            <w:shd w:val="clear" w:color="auto" w:fill="B4C6E7"/>
            <w:tcMar>
              <w:top w:w="80" w:type="dxa"/>
              <w:left w:w="80" w:type="dxa"/>
              <w:bottom w:w="80" w:type="dxa"/>
              <w:right w:w="80" w:type="dxa"/>
            </w:tcMar>
          </w:tcPr>
          <w:p w:rsidR="00D75975" w:rsidRPr="00250244" w:rsidRDefault="004B4F83" w:rsidP="00861634">
            <w:pPr>
              <w:pStyle w:val="Body"/>
              <w:jc w:val="both"/>
              <w:rPr>
                <w:rFonts w:ascii="Calibri" w:hAnsi="Calibri" w:cs="Calibri"/>
                <w:color w:val="auto"/>
                <w:sz w:val="18"/>
                <w:szCs w:val="18"/>
              </w:rPr>
            </w:pPr>
            <w:r w:rsidRPr="00250244">
              <w:rPr>
                <w:rStyle w:val="None"/>
                <w:rFonts w:ascii="Calibri" w:eastAsia="Calibri" w:hAnsi="Calibri" w:cs="Calibri"/>
                <w:b/>
                <w:bCs/>
                <w:color w:val="auto"/>
                <w:sz w:val="18"/>
                <w:szCs w:val="18"/>
              </w:rPr>
              <w:t>Component 1</w:t>
            </w:r>
          </w:p>
        </w:tc>
        <w:tc>
          <w:tcPr>
            <w:tcW w:w="3558" w:type="dxa"/>
            <w:tcBorders>
              <w:top w:val="single" w:sz="4" w:space="0" w:color="000000"/>
              <w:left w:val="single" w:sz="4" w:space="0" w:color="000000"/>
              <w:bottom w:val="single" w:sz="4" w:space="0" w:color="000000"/>
              <w:right w:val="single" w:sz="4" w:space="0" w:color="000000"/>
            </w:tcBorders>
            <w:shd w:val="clear" w:color="auto" w:fill="B4C6E7"/>
            <w:tcMar>
              <w:top w:w="80" w:type="dxa"/>
              <w:left w:w="80" w:type="dxa"/>
              <w:bottom w:w="80" w:type="dxa"/>
              <w:right w:w="80" w:type="dxa"/>
            </w:tcMar>
          </w:tcPr>
          <w:p w:rsidR="00D75975" w:rsidRPr="00250244" w:rsidRDefault="00D75975" w:rsidP="00861634">
            <w:pPr>
              <w:rPr>
                <w:rFonts w:ascii="Calibri" w:hAnsi="Calibri" w:cs="Calibri"/>
                <w:sz w:val="18"/>
                <w:szCs w:val="18"/>
              </w:rPr>
            </w:pPr>
          </w:p>
        </w:tc>
        <w:tc>
          <w:tcPr>
            <w:tcW w:w="2766" w:type="dxa"/>
            <w:tcBorders>
              <w:top w:val="single" w:sz="4" w:space="0" w:color="000000"/>
              <w:left w:val="single" w:sz="4" w:space="0" w:color="000000"/>
              <w:bottom w:val="single" w:sz="4" w:space="0" w:color="000000"/>
              <w:right w:val="single" w:sz="4" w:space="0" w:color="000000"/>
            </w:tcBorders>
            <w:shd w:val="clear" w:color="auto" w:fill="B4C6E7"/>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210"/>
        </w:trPr>
        <w:tc>
          <w:tcPr>
            <w:tcW w:w="2686"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b/>
                <w:bCs/>
                <w:color w:val="auto"/>
                <w:sz w:val="18"/>
                <w:szCs w:val="18"/>
              </w:rPr>
              <w:t>Output 1.</w:t>
            </w:r>
          </w:p>
        </w:tc>
        <w:tc>
          <w:tcPr>
            <w:tcW w:w="3558"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D75975" w:rsidP="00861634">
            <w:pPr>
              <w:rPr>
                <w:rFonts w:ascii="Calibri" w:hAnsi="Calibri" w:cs="Calibri"/>
                <w:sz w:val="18"/>
                <w:szCs w:val="18"/>
              </w:rPr>
            </w:pPr>
          </w:p>
        </w:tc>
        <w:tc>
          <w:tcPr>
            <w:tcW w:w="2766"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1010"/>
        </w:trPr>
        <w:tc>
          <w:tcPr>
            <w:tcW w:w="2686"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1.1.1 Establish and operationalize a National IAS Coordination Group</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PMO informs relevant parties that the project promotes gender equality and the mainstreaming of women and encourages the selection of women to the National IAS Coordination Group.</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Prior to establishment of the National IAS Coordination Group.</w:t>
            </w:r>
          </w:p>
        </w:tc>
      </w:tr>
      <w:tr w:rsidR="004B4F83" w:rsidRPr="00250244">
        <w:tblPrEx>
          <w:shd w:val="clear" w:color="auto" w:fill="CDD4E9"/>
        </w:tblPrEx>
        <w:trPr>
          <w:trHeight w:val="610"/>
        </w:trPr>
        <w:tc>
          <w:tcPr>
            <w:tcW w:w="2686" w:type="dxa"/>
            <w:vMerge/>
            <w:tcBorders>
              <w:top w:val="single" w:sz="4" w:space="0" w:color="000000"/>
              <w:left w:val="single" w:sz="4" w:space="0" w:color="000000"/>
              <w:bottom w:val="single" w:sz="4" w:space="0" w:color="000000"/>
              <w:right w:val="single" w:sz="4" w:space="0" w:color="000000"/>
            </w:tcBorders>
            <w:shd w:val="clear" w:color="auto" w:fill="auto"/>
          </w:tcPr>
          <w:p w:rsidR="00D75975" w:rsidRPr="00250244" w:rsidRDefault="00D75975" w:rsidP="00861634">
            <w:pPr>
              <w:rPr>
                <w:rFonts w:ascii="Calibri" w:hAnsi="Calibri" w:cs="Calibri"/>
                <w:sz w:val="18"/>
                <w:szCs w:val="18"/>
              </w:rPr>
            </w:pP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PMO collects gender disaggregated data on National IAS Coordination Group members</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 xml:space="preserve">Following the establishment of the National IAS Coordination Group and annually afterwards </w:t>
            </w:r>
          </w:p>
        </w:tc>
      </w:tr>
      <w:tr w:rsidR="004B4F83" w:rsidRPr="00250244">
        <w:tblPrEx>
          <w:shd w:val="clear" w:color="auto" w:fill="CDD4E9"/>
        </w:tblPrEx>
        <w:trPr>
          <w:trHeight w:val="1010"/>
        </w:trPr>
        <w:tc>
          <w:tcPr>
            <w:tcW w:w="2686"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1.1.2. Create and run Provincial IAS Management Coordinating groups in Hainan and Chongqing</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PMO informs relevant parties that the project promotes gender equality and the mainstreaming of women and encourages the selection of women to the Provincial IAS Coordination Group.</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Prior to establishment of the Provincial IAS Coordination Group.</w:t>
            </w:r>
          </w:p>
        </w:tc>
      </w:tr>
      <w:tr w:rsidR="004B4F83" w:rsidRPr="00250244">
        <w:tblPrEx>
          <w:shd w:val="clear" w:color="auto" w:fill="CDD4E9"/>
        </w:tblPrEx>
        <w:trPr>
          <w:trHeight w:val="610"/>
        </w:trPr>
        <w:tc>
          <w:tcPr>
            <w:tcW w:w="2686" w:type="dxa"/>
            <w:vMerge/>
            <w:tcBorders>
              <w:top w:val="single" w:sz="4" w:space="0" w:color="000000"/>
              <w:left w:val="single" w:sz="4" w:space="0" w:color="000000"/>
              <w:bottom w:val="single" w:sz="4" w:space="0" w:color="000000"/>
              <w:right w:val="single" w:sz="4" w:space="0" w:color="000000"/>
            </w:tcBorders>
            <w:shd w:val="clear" w:color="auto" w:fill="auto"/>
          </w:tcPr>
          <w:p w:rsidR="00D75975" w:rsidRPr="00250244" w:rsidRDefault="00D75975" w:rsidP="00861634">
            <w:pPr>
              <w:rPr>
                <w:rFonts w:ascii="Calibri" w:hAnsi="Calibri" w:cs="Calibri"/>
                <w:sz w:val="18"/>
                <w:szCs w:val="18"/>
              </w:rPr>
            </w:pP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PMO collects gender disaggregated data on Provincial IAS Coordination Group members.</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 xml:space="preserve">Following the establishment of the Provincial IAS Coordination Group and annually afterwards. </w:t>
            </w:r>
          </w:p>
        </w:tc>
      </w:tr>
      <w:tr w:rsidR="004B4F83" w:rsidRPr="00250244">
        <w:tblPrEx>
          <w:shd w:val="clear" w:color="auto" w:fill="CDD4E9"/>
        </w:tblPrEx>
        <w:trPr>
          <w:trHeight w:val="1010"/>
        </w:trPr>
        <w:tc>
          <w:tcPr>
            <w:tcW w:w="2686"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1.1.3. Create and run County IAS Management Coordinating Groups in Wenchang and Bishan</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PMO informs relevant parties that the project promotes gender equality and the mainstreaming of women and encourages the selection of women to the County IAS Coordination Group.</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Prior to establishment of the County IAS Coordination Group.</w:t>
            </w:r>
          </w:p>
        </w:tc>
      </w:tr>
      <w:tr w:rsidR="004B4F83" w:rsidRPr="00250244">
        <w:tblPrEx>
          <w:shd w:val="clear" w:color="auto" w:fill="CDD4E9"/>
        </w:tblPrEx>
        <w:trPr>
          <w:trHeight w:val="610"/>
        </w:trPr>
        <w:tc>
          <w:tcPr>
            <w:tcW w:w="2686" w:type="dxa"/>
            <w:vMerge/>
            <w:tcBorders>
              <w:top w:val="single" w:sz="4" w:space="0" w:color="000000"/>
              <w:left w:val="single" w:sz="4" w:space="0" w:color="000000"/>
              <w:bottom w:val="single" w:sz="4" w:space="0" w:color="000000"/>
              <w:right w:val="single" w:sz="4" w:space="0" w:color="000000"/>
            </w:tcBorders>
            <w:shd w:val="clear" w:color="auto" w:fill="auto"/>
          </w:tcPr>
          <w:p w:rsidR="00D75975" w:rsidRPr="00250244" w:rsidRDefault="00D75975" w:rsidP="00861634">
            <w:pPr>
              <w:rPr>
                <w:rFonts w:ascii="Calibri" w:hAnsi="Calibri" w:cs="Calibri"/>
                <w:sz w:val="18"/>
                <w:szCs w:val="18"/>
              </w:rPr>
            </w:pP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PMO collects gender disaggregated data on County IAS Coordination Group members.</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 xml:space="preserve">Following the establishment of the County IAS Coordination Group and annually afterwards. </w:t>
            </w:r>
          </w:p>
        </w:tc>
      </w:tr>
      <w:tr w:rsidR="004B4F83" w:rsidRPr="00250244">
        <w:tblPrEx>
          <w:shd w:val="clear" w:color="auto" w:fill="CDD4E9"/>
        </w:tblPrEx>
        <w:trPr>
          <w:trHeight w:val="10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42435" w:rsidP="00861634">
            <w:pPr>
              <w:pStyle w:val="Body"/>
              <w:rPr>
                <w:rFonts w:ascii="Calibri" w:hAnsi="Calibri" w:cs="Calibri"/>
                <w:color w:val="auto"/>
                <w:sz w:val="18"/>
                <w:szCs w:val="18"/>
              </w:rPr>
            </w:pPr>
            <w:r w:rsidRPr="00250244">
              <w:rPr>
                <w:rFonts w:ascii="Calibri" w:hAnsi="Calibri" w:cs="Calibri"/>
                <w:bCs/>
                <w:color w:val="auto"/>
                <w:sz w:val="18"/>
                <w:szCs w:val="18"/>
                <w:u w:color="2F5496"/>
              </w:rPr>
              <w:t>1.1.4. Hold annual multi-sector coordination seminars</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PMO informs relevant parties that the project promotes gender equality and the mainstreaming of women and encourages and collects gender disaggregated participants lists.</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 xml:space="preserve">Annually in connection with the multi-sector knowledge sharing </w:t>
            </w:r>
            <w:r w:rsidRPr="00250244">
              <w:rPr>
                <w:rStyle w:val="None"/>
                <w:rFonts w:ascii="Calibri" w:eastAsia="Calibri" w:hAnsi="Calibri" w:cs="Calibri"/>
                <w:color w:val="auto"/>
                <w:sz w:val="18"/>
                <w:szCs w:val="18"/>
                <w:lang w:val="it-IT"/>
              </w:rPr>
              <w:t>seminar</w:t>
            </w:r>
            <w:r w:rsidRPr="00250244">
              <w:rPr>
                <w:rStyle w:val="None"/>
                <w:rFonts w:ascii="Calibri" w:eastAsia="Calibri" w:hAnsi="Calibri" w:cs="Calibri"/>
                <w:color w:val="auto"/>
                <w:sz w:val="18"/>
                <w:szCs w:val="18"/>
              </w:rPr>
              <w:t>s.</w:t>
            </w:r>
          </w:p>
        </w:tc>
      </w:tr>
      <w:tr w:rsidR="004B4F83" w:rsidRPr="00250244">
        <w:tblPrEx>
          <w:shd w:val="clear" w:color="auto" w:fill="CDD4E9"/>
        </w:tblPrEx>
        <w:trPr>
          <w:trHeight w:val="210"/>
        </w:trPr>
        <w:tc>
          <w:tcPr>
            <w:tcW w:w="2686"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b/>
                <w:bCs/>
                <w:color w:val="auto"/>
                <w:sz w:val="18"/>
                <w:szCs w:val="18"/>
              </w:rPr>
              <w:t>Output 1.2</w:t>
            </w:r>
          </w:p>
        </w:tc>
        <w:tc>
          <w:tcPr>
            <w:tcW w:w="3558"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D75975" w:rsidP="00861634">
            <w:pPr>
              <w:rPr>
                <w:rFonts w:ascii="Calibri" w:hAnsi="Calibri" w:cs="Calibri"/>
                <w:sz w:val="18"/>
                <w:szCs w:val="18"/>
              </w:rPr>
            </w:pPr>
          </w:p>
        </w:tc>
        <w:tc>
          <w:tcPr>
            <w:tcW w:w="2766"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8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1.2.1. Revise and adopt the regulation framework to optimize cross-sectoral IAS Management.</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8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1.2.2. Develop provincial regulation for IAS prevention, control and management in Hainan and Chongqing.</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4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42435" w:rsidP="00861634">
            <w:pPr>
              <w:pStyle w:val="Body"/>
              <w:rPr>
                <w:rFonts w:ascii="Calibri" w:hAnsi="Calibri" w:cs="Calibri"/>
                <w:color w:val="auto"/>
                <w:sz w:val="18"/>
                <w:szCs w:val="18"/>
              </w:rPr>
            </w:pPr>
            <w:r w:rsidRPr="00250244">
              <w:rPr>
                <w:rFonts w:ascii="Calibri" w:hAnsi="Calibri" w:cs="Calibri"/>
                <w:color w:val="auto"/>
                <w:sz w:val="18"/>
                <w:szCs w:val="18"/>
                <w:u w:color="2F5496"/>
              </w:rPr>
              <w:t>1.2.3. Revise IAS Early Warning Guidelines</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4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1.2.4 Develop IAS rapid response guidelines</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6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1.2.5. Develop an IAS B</w:t>
            </w:r>
            <w:r w:rsidRPr="00250244">
              <w:rPr>
                <w:rStyle w:val="None"/>
                <w:rFonts w:ascii="Calibri" w:eastAsia="Calibri" w:hAnsi="Calibri" w:cs="Calibri"/>
                <w:color w:val="auto"/>
                <w:sz w:val="18"/>
                <w:szCs w:val="18"/>
                <w:lang w:val="it-IT"/>
              </w:rPr>
              <w:t xml:space="preserve">iodiversity </w:t>
            </w:r>
            <w:r w:rsidRPr="00250244">
              <w:rPr>
                <w:rStyle w:val="None"/>
                <w:rFonts w:ascii="Calibri" w:eastAsia="Calibri" w:hAnsi="Calibri" w:cs="Calibri"/>
                <w:color w:val="auto"/>
                <w:sz w:val="18"/>
                <w:szCs w:val="18"/>
              </w:rPr>
              <w:t>Risk A</w:t>
            </w:r>
            <w:r w:rsidRPr="00250244">
              <w:rPr>
                <w:rStyle w:val="None"/>
                <w:rFonts w:ascii="Calibri" w:eastAsia="Calibri" w:hAnsi="Calibri" w:cs="Calibri"/>
                <w:color w:val="auto"/>
                <w:sz w:val="18"/>
                <w:szCs w:val="18"/>
                <w:lang w:val="it-IT"/>
              </w:rPr>
              <w:t>ssessment</w:t>
            </w:r>
            <w:r w:rsidRPr="00250244">
              <w:rPr>
                <w:rStyle w:val="None"/>
                <w:rFonts w:ascii="Calibri" w:eastAsia="Calibri" w:hAnsi="Calibri" w:cs="Calibri"/>
                <w:color w:val="auto"/>
                <w:sz w:val="18"/>
                <w:szCs w:val="18"/>
              </w:rPr>
              <w:t xml:space="preserve"> G</w:t>
            </w:r>
            <w:r w:rsidRPr="00250244">
              <w:rPr>
                <w:rStyle w:val="None"/>
                <w:rFonts w:ascii="Calibri" w:eastAsia="Calibri" w:hAnsi="Calibri" w:cs="Calibri"/>
                <w:color w:val="auto"/>
                <w:sz w:val="18"/>
                <w:szCs w:val="18"/>
                <w:lang w:val="nl-NL"/>
              </w:rPr>
              <w:t>uideline</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8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42435" w:rsidP="00861634">
            <w:pPr>
              <w:pStyle w:val="Body"/>
              <w:rPr>
                <w:rFonts w:ascii="Calibri" w:hAnsi="Calibri" w:cs="Calibri"/>
                <w:color w:val="auto"/>
                <w:sz w:val="18"/>
                <w:szCs w:val="18"/>
              </w:rPr>
            </w:pPr>
            <w:r w:rsidRPr="00250244">
              <w:rPr>
                <w:rFonts w:ascii="Calibri" w:hAnsi="Calibri" w:cs="Calibri"/>
                <w:color w:val="auto"/>
                <w:sz w:val="18"/>
                <w:szCs w:val="18"/>
                <w:u w:color="2F5496"/>
              </w:rPr>
              <w:t>1.2.6 Develop IAS buffer zone guideline for areas surrounding ecological functioning zones and protected areas</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8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1.2.7. Develop IAS Risk Assessment, Early Warning and rapid Response guidelines for protected areas</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42435" w:rsidRPr="00250244">
        <w:tblPrEx>
          <w:shd w:val="clear" w:color="auto" w:fill="CDD4E9"/>
        </w:tblPrEx>
        <w:trPr>
          <w:trHeight w:val="8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42435" w:rsidRPr="00250244" w:rsidRDefault="00442435" w:rsidP="00861634">
            <w:pPr>
              <w:pStyle w:val="Body"/>
              <w:rPr>
                <w:rStyle w:val="None"/>
                <w:rFonts w:ascii="Calibri" w:eastAsia="Calibri" w:hAnsi="Calibri" w:cs="Calibri"/>
                <w:color w:val="auto"/>
                <w:sz w:val="18"/>
                <w:szCs w:val="18"/>
              </w:rPr>
            </w:pPr>
            <w:r w:rsidRPr="00250244">
              <w:rPr>
                <w:rFonts w:ascii="Calibri" w:hAnsi="Calibri" w:cs="Calibri"/>
                <w:color w:val="auto"/>
                <w:sz w:val="18"/>
                <w:szCs w:val="18"/>
                <w:u w:color="2F5496"/>
              </w:rPr>
              <w:t>1.2.8. Include biodiversity in the biennial updates of the “First Priority” IAS species list.</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42435" w:rsidRPr="00250244" w:rsidRDefault="00250244" w:rsidP="00861634">
            <w:pPr>
              <w:pStyle w:val="Body"/>
              <w:rPr>
                <w:rStyle w:val="None"/>
                <w:rFonts w:ascii="Calibri" w:eastAsia="Calibri" w:hAnsi="Calibri" w:cs="Calibri"/>
                <w:color w:val="auto"/>
                <w:sz w:val="18"/>
                <w:szCs w:val="18"/>
              </w:rPr>
            </w:pPr>
            <w:r w:rsidRPr="00250244">
              <w:rPr>
                <w:rStyle w:val="None"/>
                <w:rFonts w:ascii="Calibri" w:eastAsia="Calibri" w:hAnsi="Calibri" w:cs="Calibri"/>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42435" w:rsidRPr="00250244" w:rsidRDefault="00442435" w:rsidP="00861634">
            <w:pPr>
              <w:rPr>
                <w:rFonts w:ascii="Calibri" w:hAnsi="Calibri" w:cs="Calibri"/>
                <w:sz w:val="18"/>
                <w:szCs w:val="18"/>
              </w:rPr>
            </w:pPr>
          </w:p>
        </w:tc>
      </w:tr>
      <w:tr w:rsidR="00442435" w:rsidRPr="00250244">
        <w:tblPrEx>
          <w:shd w:val="clear" w:color="auto" w:fill="CDD4E9"/>
        </w:tblPrEx>
        <w:trPr>
          <w:trHeight w:val="8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42435" w:rsidRPr="00250244" w:rsidRDefault="00442435" w:rsidP="00442435">
            <w:pPr>
              <w:pStyle w:val="BodyA"/>
              <w:spacing w:after="120"/>
              <w:rPr>
                <w:rStyle w:val="None"/>
                <w:color w:val="auto"/>
                <w:sz w:val="18"/>
                <w:szCs w:val="18"/>
                <w:u w:color="2F5496"/>
              </w:rPr>
            </w:pPr>
            <w:r w:rsidRPr="00250244">
              <w:rPr>
                <w:color w:val="auto"/>
                <w:sz w:val="18"/>
                <w:szCs w:val="18"/>
                <w:u w:color="2F5496"/>
              </w:rPr>
              <w:t>1.2.9. Include biodiversity in the updating of the 2007 National Quarantine Pest list.</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42435" w:rsidRPr="00250244" w:rsidRDefault="00442435" w:rsidP="00861634">
            <w:pPr>
              <w:pStyle w:val="Body"/>
              <w:rPr>
                <w:rStyle w:val="None"/>
                <w:rFonts w:ascii="Calibri" w:eastAsia="Calibri" w:hAnsi="Calibri" w:cs="Calibri"/>
                <w:color w:val="auto"/>
                <w:sz w:val="18"/>
                <w:szCs w:val="18"/>
              </w:rPr>
            </w:pP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42435" w:rsidRPr="00250244" w:rsidRDefault="00442435" w:rsidP="00861634">
            <w:pPr>
              <w:rPr>
                <w:rFonts w:ascii="Calibri" w:hAnsi="Calibri" w:cs="Calibri"/>
                <w:sz w:val="18"/>
                <w:szCs w:val="18"/>
              </w:rPr>
            </w:pPr>
          </w:p>
        </w:tc>
      </w:tr>
      <w:tr w:rsidR="004B4F83" w:rsidRPr="00250244">
        <w:tblPrEx>
          <w:shd w:val="clear" w:color="auto" w:fill="CDD4E9"/>
        </w:tblPrEx>
        <w:trPr>
          <w:trHeight w:val="210"/>
        </w:trPr>
        <w:tc>
          <w:tcPr>
            <w:tcW w:w="2686"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b/>
                <w:bCs/>
                <w:color w:val="auto"/>
                <w:sz w:val="18"/>
                <w:szCs w:val="18"/>
              </w:rPr>
              <w:t>Output 1.3</w:t>
            </w:r>
          </w:p>
        </w:tc>
        <w:tc>
          <w:tcPr>
            <w:tcW w:w="3558"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D75975" w:rsidP="00861634">
            <w:pPr>
              <w:rPr>
                <w:rFonts w:ascii="Calibri" w:hAnsi="Calibri" w:cs="Calibri"/>
                <w:sz w:val="18"/>
                <w:szCs w:val="18"/>
              </w:rPr>
            </w:pPr>
          </w:p>
        </w:tc>
        <w:tc>
          <w:tcPr>
            <w:tcW w:w="2766"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42435" w:rsidRPr="00250244" w:rsidTr="004B4F83">
        <w:tblPrEx>
          <w:shd w:val="clear" w:color="auto" w:fill="CDD4E9"/>
        </w:tblPrEx>
        <w:trPr>
          <w:trHeight w:val="1062"/>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42435" w:rsidRPr="00250244" w:rsidRDefault="00442435" w:rsidP="00861634">
            <w:pPr>
              <w:pStyle w:val="BodyA"/>
              <w:rPr>
                <w:rStyle w:val="None"/>
                <w:color w:val="auto"/>
                <w:sz w:val="18"/>
                <w:szCs w:val="18"/>
              </w:rPr>
            </w:pPr>
            <w:r w:rsidRPr="00250244">
              <w:rPr>
                <w:color w:val="auto"/>
                <w:sz w:val="18"/>
                <w:szCs w:val="18"/>
                <w:u w:color="2F5496"/>
              </w:rPr>
              <w:t>1.3.1 Develop the strategic vision and content of the National IAS Management Strategy and Action Plan (IAS NSAP 2021-2030)</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42435" w:rsidRPr="00250244" w:rsidRDefault="00442435" w:rsidP="00861634">
            <w:pPr>
              <w:pStyle w:val="BodyA"/>
              <w:rPr>
                <w:rStyle w:val="None"/>
                <w:color w:val="auto"/>
                <w:sz w:val="18"/>
                <w:szCs w:val="18"/>
              </w:rPr>
            </w:pPr>
            <w:r w:rsidRPr="00250244">
              <w:rPr>
                <w:rStyle w:val="None"/>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42435" w:rsidRPr="00250244" w:rsidRDefault="00442435" w:rsidP="00861634">
            <w:pPr>
              <w:pStyle w:val="BodyA"/>
              <w:rPr>
                <w:rStyle w:val="None"/>
                <w:color w:val="auto"/>
                <w:sz w:val="18"/>
                <w:szCs w:val="18"/>
              </w:rPr>
            </w:pPr>
          </w:p>
        </w:tc>
      </w:tr>
      <w:tr w:rsidR="004B4F83" w:rsidRPr="00250244" w:rsidTr="004B4F83">
        <w:tblPrEx>
          <w:shd w:val="clear" w:color="auto" w:fill="CDD4E9"/>
        </w:tblPrEx>
        <w:trPr>
          <w:trHeight w:val="1062"/>
        </w:trPr>
        <w:tc>
          <w:tcPr>
            <w:tcW w:w="2686"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1.3.2. Prepare the National IAS Management strategy and action plan (I</w:t>
            </w:r>
            <w:r w:rsidRPr="00250244">
              <w:rPr>
                <w:rStyle w:val="None"/>
                <w:color w:val="auto"/>
                <w:sz w:val="18"/>
                <w:szCs w:val="18"/>
                <w:lang w:val="de-DE"/>
              </w:rPr>
              <w:t>AS NSAP 2020-2030)</w:t>
            </w:r>
            <w:r w:rsidRPr="00250244">
              <w:rPr>
                <w:rStyle w:val="None"/>
                <w:color w:val="auto"/>
                <w:sz w:val="18"/>
                <w:szCs w:val="18"/>
              </w:rPr>
              <w:t xml:space="preserve"> </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PMO informs relevant parties that the project promotes gender equality and the mainstreaming of women and encourages the selection of women to participate in the I</w:t>
            </w:r>
            <w:r w:rsidRPr="00250244">
              <w:rPr>
                <w:rStyle w:val="None"/>
                <w:color w:val="auto"/>
                <w:sz w:val="18"/>
                <w:szCs w:val="18"/>
                <w:lang w:val="de-DE"/>
              </w:rPr>
              <w:t>AS NSAP</w:t>
            </w:r>
            <w:r w:rsidRPr="00250244">
              <w:rPr>
                <w:rStyle w:val="None"/>
                <w:color w:val="auto"/>
                <w:sz w:val="18"/>
                <w:szCs w:val="18"/>
              </w:rPr>
              <w:t xml:space="preserve"> working and stakeholder groups.</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Prior to establishment of the I</w:t>
            </w:r>
            <w:r w:rsidRPr="00250244">
              <w:rPr>
                <w:rStyle w:val="None"/>
                <w:color w:val="auto"/>
                <w:sz w:val="18"/>
                <w:szCs w:val="18"/>
                <w:lang w:val="de-DE"/>
              </w:rPr>
              <w:t>AS NSAP</w:t>
            </w:r>
            <w:r w:rsidRPr="00250244">
              <w:rPr>
                <w:rStyle w:val="None"/>
                <w:color w:val="auto"/>
                <w:sz w:val="18"/>
                <w:szCs w:val="18"/>
              </w:rPr>
              <w:t xml:space="preserve"> working and stakeholder groups.</w:t>
            </w:r>
          </w:p>
        </w:tc>
      </w:tr>
      <w:tr w:rsidR="004B4F83" w:rsidRPr="00250244" w:rsidTr="004B4F83">
        <w:tblPrEx>
          <w:shd w:val="clear" w:color="auto" w:fill="CDD4E9"/>
        </w:tblPrEx>
        <w:trPr>
          <w:trHeight w:val="666"/>
        </w:trPr>
        <w:tc>
          <w:tcPr>
            <w:tcW w:w="2686" w:type="dxa"/>
            <w:vMerge/>
            <w:tcBorders>
              <w:top w:val="single" w:sz="4" w:space="0" w:color="000000"/>
              <w:left w:val="single" w:sz="4" w:space="0" w:color="000000"/>
              <w:bottom w:val="single" w:sz="4" w:space="0" w:color="000000"/>
              <w:right w:val="single" w:sz="4" w:space="0" w:color="000000"/>
            </w:tcBorders>
            <w:shd w:val="clear" w:color="auto" w:fill="auto"/>
          </w:tcPr>
          <w:p w:rsidR="00D75975" w:rsidRPr="00250244" w:rsidRDefault="00D75975" w:rsidP="00861634">
            <w:pPr>
              <w:rPr>
                <w:rFonts w:ascii="Calibri" w:hAnsi="Calibri" w:cs="Calibri"/>
                <w:sz w:val="18"/>
                <w:szCs w:val="18"/>
              </w:rPr>
            </w:pP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PMO collects gender disaggregated data on I</w:t>
            </w:r>
            <w:r w:rsidRPr="00250244">
              <w:rPr>
                <w:rStyle w:val="None"/>
                <w:color w:val="auto"/>
                <w:sz w:val="18"/>
                <w:szCs w:val="18"/>
                <w:lang w:val="de-DE"/>
              </w:rPr>
              <w:t>AS NSAP</w:t>
            </w:r>
            <w:r w:rsidRPr="00250244">
              <w:rPr>
                <w:rStyle w:val="None"/>
                <w:color w:val="auto"/>
                <w:sz w:val="18"/>
                <w:szCs w:val="18"/>
              </w:rPr>
              <w:t xml:space="preserve"> working and stakeholder groups.</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In connection with the meetings of the I</w:t>
            </w:r>
            <w:r w:rsidRPr="00250244">
              <w:rPr>
                <w:rStyle w:val="None"/>
                <w:color w:val="auto"/>
                <w:sz w:val="18"/>
                <w:szCs w:val="18"/>
                <w:lang w:val="de-DE"/>
              </w:rPr>
              <w:t>AS NSAP</w:t>
            </w:r>
            <w:r w:rsidRPr="00250244">
              <w:rPr>
                <w:rStyle w:val="None"/>
                <w:color w:val="auto"/>
                <w:sz w:val="18"/>
                <w:szCs w:val="18"/>
              </w:rPr>
              <w:t xml:space="preserve"> working and stakeholder groups.</w:t>
            </w:r>
          </w:p>
        </w:tc>
      </w:tr>
      <w:tr w:rsidR="004B4F83" w:rsidRPr="00250244" w:rsidTr="004B4F83">
        <w:tblPrEx>
          <w:shd w:val="clear" w:color="auto" w:fill="CDD4E9"/>
        </w:tblPrEx>
        <w:trPr>
          <w:trHeight w:val="927"/>
        </w:trPr>
        <w:tc>
          <w:tcPr>
            <w:tcW w:w="2686"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1.3.3. Prepare Provincial IAS Management strategy and action plan (IAS PSAP 2021-2030) for Hainan and Chongqing.</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PMO informs relevant parties that the project promotes gender equality and the mainstreaming of women and encourages the selection of women to participate in the I</w:t>
            </w:r>
            <w:r w:rsidRPr="00250244">
              <w:rPr>
                <w:rStyle w:val="None"/>
                <w:rFonts w:ascii="Calibri" w:eastAsia="Calibri" w:hAnsi="Calibri" w:cs="Calibri"/>
                <w:color w:val="auto"/>
                <w:sz w:val="18"/>
                <w:szCs w:val="18"/>
                <w:lang w:val="de-DE"/>
              </w:rPr>
              <w:t>AS PSAPs</w:t>
            </w:r>
            <w:r w:rsidRPr="00250244">
              <w:rPr>
                <w:rStyle w:val="None"/>
                <w:rFonts w:ascii="Calibri" w:eastAsia="Calibri" w:hAnsi="Calibri" w:cs="Calibri"/>
                <w:color w:val="auto"/>
                <w:sz w:val="18"/>
                <w:szCs w:val="18"/>
              </w:rPr>
              <w:t xml:space="preserve"> working and stakeholder groups.</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Prior to establishment of the I</w:t>
            </w:r>
            <w:r w:rsidRPr="00250244">
              <w:rPr>
                <w:rStyle w:val="None"/>
                <w:rFonts w:ascii="Calibri" w:eastAsia="Calibri" w:hAnsi="Calibri" w:cs="Calibri"/>
                <w:color w:val="auto"/>
                <w:sz w:val="18"/>
                <w:szCs w:val="18"/>
                <w:lang w:val="de-DE"/>
              </w:rPr>
              <w:t>AS PSAPs</w:t>
            </w:r>
            <w:r w:rsidRPr="00250244">
              <w:rPr>
                <w:rStyle w:val="None"/>
                <w:rFonts w:ascii="Calibri" w:eastAsia="Calibri" w:hAnsi="Calibri" w:cs="Calibri"/>
                <w:color w:val="auto"/>
                <w:sz w:val="18"/>
                <w:szCs w:val="18"/>
              </w:rPr>
              <w:t xml:space="preserve"> working and stakeholder groups.</w:t>
            </w:r>
          </w:p>
        </w:tc>
      </w:tr>
      <w:tr w:rsidR="004B4F83" w:rsidRPr="00250244" w:rsidTr="004B4F83">
        <w:tblPrEx>
          <w:shd w:val="clear" w:color="auto" w:fill="CDD4E9"/>
        </w:tblPrEx>
        <w:trPr>
          <w:trHeight w:val="288"/>
        </w:trPr>
        <w:tc>
          <w:tcPr>
            <w:tcW w:w="2686" w:type="dxa"/>
            <w:vMerge/>
            <w:tcBorders>
              <w:top w:val="single" w:sz="4" w:space="0" w:color="000000"/>
              <w:left w:val="single" w:sz="4" w:space="0" w:color="000000"/>
              <w:bottom w:val="single" w:sz="4" w:space="0" w:color="000000"/>
              <w:right w:val="single" w:sz="4" w:space="0" w:color="000000"/>
            </w:tcBorders>
            <w:shd w:val="clear" w:color="auto" w:fill="auto"/>
          </w:tcPr>
          <w:p w:rsidR="00D75975" w:rsidRPr="00250244" w:rsidRDefault="00D75975" w:rsidP="00861634">
            <w:pPr>
              <w:rPr>
                <w:rFonts w:ascii="Calibri" w:hAnsi="Calibri" w:cs="Calibri"/>
                <w:sz w:val="18"/>
                <w:szCs w:val="18"/>
              </w:rPr>
            </w:pP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PMO collects gender disaggregated data on I</w:t>
            </w:r>
            <w:r w:rsidRPr="00250244">
              <w:rPr>
                <w:rStyle w:val="None"/>
                <w:rFonts w:ascii="Calibri" w:eastAsia="Calibri" w:hAnsi="Calibri" w:cs="Calibri"/>
                <w:color w:val="auto"/>
                <w:sz w:val="18"/>
                <w:szCs w:val="18"/>
                <w:lang w:val="de-DE"/>
              </w:rPr>
              <w:t>AS PSAPs</w:t>
            </w:r>
            <w:r w:rsidRPr="00250244">
              <w:rPr>
                <w:rStyle w:val="None"/>
                <w:rFonts w:ascii="Calibri" w:eastAsia="Calibri" w:hAnsi="Calibri" w:cs="Calibri"/>
                <w:color w:val="auto"/>
                <w:sz w:val="18"/>
                <w:szCs w:val="18"/>
              </w:rPr>
              <w:t xml:space="preserve"> working and stakeholder groups.</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In connection with the meetings of the I</w:t>
            </w:r>
            <w:r w:rsidRPr="00250244">
              <w:rPr>
                <w:rStyle w:val="None"/>
                <w:rFonts w:ascii="Calibri" w:eastAsia="Calibri" w:hAnsi="Calibri" w:cs="Calibri"/>
                <w:color w:val="auto"/>
                <w:sz w:val="18"/>
                <w:szCs w:val="18"/>
                <w:lang w:val="de-DE"/>
              </w:rPr>
              <w:t>AS PSAPs</w:t>
            </w:r>
            <w:r w:rsidRPr="00250244">
              <w:rPr>
                <w:rStyle w:val="None"/>
                <w:rFonts w:ascii="Calibri" w:eastAsia="Calibri" w:hAnsi="Calibri" w:cs="Calibri"/>
                <w:color w:val="auto"/>
                <w:sz w:val="18"/>
                <w:szCs w:val="18"/>
              </w:rPr>
              <w:t xml:space="preserve"> working and stakeholder groups.</w:t>
            </w:r>
          </w:p>
        </w:tc>
      </w:tr>
      <w:tr w:rsidR="004B4F83" w:rsidRPr="00250244">
        <w:tblPrEx>
          <w:shd w:val="clear" w:color="auto" w:fill="CDD4E9"/>
        </w:tblPrEx>
        <w:trPr>
          <w:trHeight w:val="210"/>
        </w:trPr>
        <w:tc>
          <w:tcPr>
            <w:tcW w:w="2686"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b/>
                <w:bCs/>
                <w:color w:val="auto"/>
                <w:sz w:val="18"/>
                <w:szCs w:val="18"/>
              </w:rPr>
              <w:t>Output 1.4</w:t>
            </w:r>
          </w:p>
        </w:tc>
        <w:tc>
          <w:tcPr>
            <w:tcW w:w="3558"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D75975" w:rsidP="00861634">
            <w:pPr>
              <w:rPr>
                <w:rFonts w:ascii="Calibri" w:hAnsi="Calibri" w:cs="Calibri"/>
                <w:sz w:val="18"/>
                <w:szCs w:val="18"/>
              </w:rPr>
            </w:pPr>
          </w:p>
        </w:tc>
        <w:tc>
          <w:tcPr>
            <w:tcW w:w="2766"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8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1.4.1. Develop individual sectoral/ministerial Implementation Plans for the IAS NSAP 2020-2030</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10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 xml:space="preserve">1.4.2. Develop sectoral/department Implementation Plans for the IAS PSAP 2021-2030 in Hainan and Chongqing. </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10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1.4.3. Ministry/administration approval of individual ministry/administrations and provincial/department IAS Implementation Plans</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210"/>
        </w:trPr>
        <w:tc>
          <w:tcPr>
            <w:tcW w:w="2686" w:type="dxa"/>
            <w:tcBorders>
              <w:top w:val="single" w:sz="4" w:space="0" w:color="000000"/>
              <w:left w:val="single" w:sz="4" w:space="0" w:color="000000"/>
              <w:bottom w:val="single" w:sz="4" w:space="0" w:color="000000"/>
              <w:right w:val="single" w:sz="4" w:space="0" w:color="000000"/>
            </w:tcBorders>
            <w:shd w:val="clear" w:color="auto" w:fill="B4C6E7"/>
            <w:tcMar>
              <w:top w:w="80" w:type="dxa"/>
              <w:left w:w="80" w:type="dxa"/>
              <w:bottom w:w="80" w:type="dxa"/>
              <w:right w:w="80" w:type="dxa"/>
            </w:tcMar>
          </w:tcPr>
          <w:p w:rsidR="00D75975" w:rsidRPr="00250244" w:rsidRDefault="004B4F83" w:rsidP="00861634">
            <w:pPr>
              <w:pStyle w:val="Body"/>
              <w:jc w:val="both"/>
              <w:rPr>
                <w:rFonts w:ascii="Calibri" w:hAnsi="Calibri" w:cs="Calibri"/>
                <w:color w:val="auto"/>
                <w:sz w:val="18"/>
                <w:szCs w:val="18"/>
              </w:rPr>
            </w:pPr>
            <w:r w:rsidRPr="00250244">
              <w:rPr>
                <w:rStyle w:val="None"/>
                <w:rFonts w:ascii="Calibri" w:eastAsia="Calibri" w:hAnsi="Calibri" w:cs="Calibri"/>
                <w:b/>
                <w:bCs/>
                <w:color w:val="auto"/>
                <w:sz w:val="18"/>
                <w:szCs w:val="18"/>
              </w:rPr>
              <w:t>Component 2</w:t>
            </w:r>
          </w:p>
        </w:tc>
        <w:tc>
          <w:tcPr>
            <w:tcW w:w="3558" w:type="dxa"/>
            <w:tcBorders>
              <w:top w:val="single" w:sz="4" w:space="0" w:color="000000"/>
              <w:left w:val="single" w:sz="4" w:space="0" w:color="000000"/>
              <w:bottom w:val="single" w:sz="4" w:space="0" w:color="000000"/>
              <w:right w:val="single" w:sz="4" w:space="0" w:color="000000"/>
            </w:tcBorders>
            <w:shd w:val="clear" w:color="auto" w:fill="B4C6E7"/>
            <w:tcMar>
              <w:top w:w="80" w:type="dxa"/>
              <w:left w:w="80" w:type="dxa"/>
              <w:bottom w:w="80" w:type="dxa"/>
              <w:right w:w="80" w:type="dxa"/>
            </w:tcMar>
          </w:tcPr>
          <w:p w:rsidR="00D75975" w:rsidRPr="00250244" w:rsidRDefault="00D75975" w:rsidP="00861634">
            <w:pPr>
              <w:rPr>
                <w:rFonts w:ascii="Calibri" w:hAnsi="Calibri" w:cs="Calibri"/>
                <w:sz w:val="18"/>
                <w:szCs w:val="18"/>
              </w:rPr>
            </w:pPr>
          </w:p>
        </w:tc>
        <w:tc>
          <w:tcPr>
            <w:tcW w:w="2766" w:type="dxa"/>
            <w:tcBorders>
              <w:top w:val="single" w:sz="4" w:space="0" w:color="000000"/>
              <w:left w:val="single" w:sz="4" w:space="0" w:color="000000"/>
              <w:bottom w:val="single" w:sz="4" w:space="0" w:color="000000"/>
              <w:right w:val="single" w:sz="4" w:space="0" w:color="000000"/>
            </w:tcBorders>
            <w:shd w:val="clear" w:color="auto" w:fill="B4C6E7"/>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210"/>
        </w:trPr>
        <w:tc>
          <w:tcPr>
            <w:tcW w:w="2686"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b/>
                <w:bCs/>
                <w:color w:val="auto"/>
                <w:sz w:val="18"/>
                <w:szCs w:val="18"/>
              </w:rPr>
              <w:t>Output 2.1</w:t>
            </w:r>
          </w:p>
        </w:tc>
        <w:tc>
          <w:tcPr>
            <w:tcW w:w="3558"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D75975" w:rsidP="00861634">
            <w:pPr>
              <w:rPr>
                <w:rFonts w:ascii="Calibri" w:hAnsi="Calibri" w:cs="Calibri"/>
                <w:sz w:val="18"/>
                <w:szCs w:val="18"/>
              </w:rPr>
            </w:pPr>
          </w:p>
        </w:tc>
        <w:tc>
          <w:tcPr>
            <w:tcW w:w="2766"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8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 xml:space="preserve">2.1.1. Develop provincial Biodiversity IAS Risk Assessment Methodologies in Hainan. </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4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42435" w:rsidP="00861634">
            <w:pPr>
              <w:pStyle w:val="BodyA"/>
              <w:rPr>
                <w:color w:val="auto"/>
                <w:sz w:val="18"/>
                <w:szCs w:val="18"/>
              </w:rPr>
            </w:pPr>
            <w:r w:rsidRPr="00250244">
              <w:rPr>
                <w:color w:val="auto"/>
                <w:sz w:val="18"/>
                <w:szCs w:val="18"/>
                <w:u w:color="2F5496"/>
              </w:rPr>
              <w:t>2.1.2. Undertake an IAS Biodiversity Risk Assessment for Hainan.</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6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 xml:space="preserve">2.1.3. Develop provincial IAS Early Warning Methodologies in Hainan. </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4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 xml:space="preserve">2.1.4. Operationalize IAS Early Warning in Hainan. </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210"/>
        </w:trPr>
        <w:tc>
          <w:tcPr>
            <w:tcW w:w="2686"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b/>
                <w:bCs/>
                <w:color w:val="auto"/>
                <w:sz w:val="18"/>
                <w:szCs w:val="18"/>
              </w:rPr>
              <w:t>Output 2.2</w:t>
            </w:r>
          </w:p>
        </w:tc>
        <w:tc>
          <w:tcPr>
            <w:tcW w:w="3558"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D75975" w:rsidP="00861634">
            <w:pPr>
              <w:rPr>
                <w:rFonts w:ascii="Calibri" w:hAnsi="Calibri" w:cs="Calibri"/>
                <w:sz w:val="18"/>
                <w:szCs w:val="18"/>
              </w:rPr>
            </w:pPr>
          </w:p>
        </w:tc>
        <w:tc>
          <w:tcPr>
            <w:tcW w:w="2766"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8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u w:color="2F5496"/>
              </w:rPr>
              <w:t xml:space="preserve">2.2.1. Update the national technical specification for IAS inspection, quarantine and disposal used at </w:t>
            </w:r>
            <w:proofErr w:type="spellStart"/>
            <w:r w:rsidRPr="00250244">
              <w:rPr>
                <w:rStyle w:val="None"/>
                <w:color w:val="auto"/>
                <w:sz w:val="18"/>
                <w:szCs w:val="18"/>
                <w:u w:color="2F5496"/>
              </w:rPr>
              <w:t>Yangpu</w:t>
            </w:r>
            <w:proofErr w:type="spellEnd"/>
            <w:r w:rsidRPr="00250244">
              <w:rPr>
                <w:rStyle w:val="None"/>
                <w:color w:val="auto"/>
                <w:sz w:val="18"/>
                <w:szCs w:val="18"/>
                <w:u w:color="2F5496"/>
              </w:rPr>
              <w:t xml:space="preserve"> port</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6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42435" w:rsidP="00861634">
            <w:pPr>
              <w:pStyle w:val="BodyA"/>
              <w:rPr>
                <w:color w:val="auto"/>
                <w:sz w:val="18"/>
                <w:szCs w:val="18"/>
              </w:rPr>
            </w:pPr>
            <w:r w:rsidRPr="00250244">
              <w:rPr>
                <w:color w:val="auto"/>
                <w:sz w:val="18"/>
                <w:szCs w:val="18"/>
                <w:u w:color="2F5496"/>
              </w:rPr>
              <w:t>2.2.2. Review and update quarantine standards</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6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u w:color="2F5496"/>
              </w:rPr>
              <w:t>2.2.3 Formulate/revise quarantine management methodologies</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810"/>
        </w:trPr>
        <w:tc>
          <w:tcPr>
            <w:tcW w:w="2686"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 xml:space="preserve">2.2.4. Develop and organize training.  </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PMO and training organizers ensure- that at least 50% of invitees to the project trainings are women and that at least 20% are below 35 years of age.</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 xml:space="preserve">For all training invitations sent out </w:t>
            </w:r>
            <w:proofErr w:type="spellStart"/>
            <w:r w:rsidRPr="00250244">
              <w:rPr>
                <w:rStyle w:val="None"/>
                <w:color w:val="auto"/>
                <w:sz w:val="18"/>
                <w:szCs w:val="18"/>
              </w:rPr>
              <w:t>through out</w:t>
            </w:r>
            <w:proofErr w:type="spellEnd"/>
            <w:r w:rsidRPr="00250244">
              <w:rPr>
                <w:rStyle w:val="None"/>
                <w:color w:val="auto"/>
                <w:sz w:val="18"/>
                <w:szCs w:val="18"/>
              </w:rPr>
              <w:t xml:space="preserve"> the project period. </w:t>
            </w:r>
          </w:p>
        </w:tc>
      </w:tr>
      <w:tr w:rsidR="004B4F83" w:rsidRPr="00250244">
        <w:tblPrEx>
          <w:shd w:val="clear" w:color="auto" w:fill="CDD4E9"/>
        </w:tblPrEx>
        <w:trPr>
          <w:trHeight w:val="610"/>
        </w:trPr>
        <w:tc>
          <w:tcPr>
            <w:tcW w:w="2686" w:type="dxa"/>
            <w:vMerge/>
            <w:tcBorders>
              <w:top w:val="single" w:sz="4" w:space="0" w:color="000000"/>
              <w:left w:val="single" w:sz="4" w:space="0" w:color="000000"/>
              <w:bottom w:val="single" w:sz="4" w:space="0" w:color="000000"/>
              <w:right w:val="single" w:sz="4" w:space="0" w:color="000000"/>
            </w:tcBorders>
            <w:shd w:val="clear" w:color="auto" w:fill="auto"/>
          </w:tcPr>
          <w:p w:rsidR="00D75975" w:rsidRPr="00250244" w:rsidRDefault="00D75975" w:rsidP="00861634">
            <w:pPr>
              <w:rPr>
                <w:rFonts w:ascii="Calibri" w:hAnsi="Calibri" w:cs="Calibri"/>
                <w:sz w:val="18"/>
                <w:szCs w:val="18"/>
              </w:rPr>
            </w:pP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Training organizers collect gender and age disaggregated data for the individual trainings provided.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For all trainings undertaken during the project period.</w:t>
            </w:r>
          </w:p>
        </w:tc>
      </w:tr>
      <w:tr w:rsidR="004B4F83" w:rsidRPr="00250244">
        <w:tblPrEx>
          <w:shd w:val="clear" w:color="auto" w:fill="CDD4E9"/>
        </w:tblPrEx>
        <w:trPr>
          <w:trHeight w:val="1010"/>
        </w:trPr>
        <w:tc>
          <w:tcPr>
            <w:tcW w:w="2686" w:type="dxa"/>
            <w:vMerge/>
            <w:tcBorders>
              <w:top w:val="single" w:sz="4" w:space="0" w:color="000000"/>
              <w:left w:val="single" w:sz="4" w:space="0" w:color="000000"/>
              <w:bottom w:val="single" w:sz="4" w:space="0" w:color="000000"/>
              <w:right w:val="single" w:sz="4" w:space="0" w:color="000000"/>
            </w:tcBorders>
            <w:shd w:val="clear" w:color="auto" w:fill="auto"/>
          </w:tcPr>
          <w:p w:rsidR="00D75975" w:rsidRPr="00250244" w:rsidRDefault="00D75975" w:rsidP="00861634">
            <w:pPr>
              <w:rPr>
                <w:rFonts w:ascii="Calibri" w:hAnsi="Calibri" w:cs="Calibri"/>
                <w:sz w:val="18"/>
                <w:szCs w:val="18"/>
              </w:rPr>
            </w:pP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Gender and age data and findings are outlined in specific sections of the prepared reports from the project’s trainings.</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Training organizers submit reports to the PMO in connection with the PMOs preparation of the annual report and the GEF PIR</w:t>
            </w:r>
          </w:p>
        </w:tc>
      </w:tr>
      <w:tr w:rsidR="004B4F83" w:rsidRPr="00250244">
        <w:tblPrEx>
          <w:shd w:val="clear" w:color="auto" w:fill="CDD4E9"/>
        </w:tblPrEx>
        <w:trPr>
          <w:trHeight w:val="210"/>
        </w:trPr>
        <w:tc>
          <w:tcPr>
            <w:tcW w:w="2686"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b/>
                <w:bCs/>
                <w:color w:val="auto"/>
                <w:sz w:val="18"/>
                <w:szCs w:val="18"/>
              </w:rPr>
              <w:t>Output 2.3</w:t>
            </w:r>
          </w:p>
        </w:tc>
        <w:tc>
          <w:tcPr>
            <w:tcW w:w="3558"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D75975" w:rsidP="00861634">
            <w:pPr>
              <w:rPr>
                <w:rFonts w:ascii="Calibri" w:hAnsi="Calibri" w:cs="Calibri"/>
                <w:sz w:val="18"/>
                <w:szCs w:val="18"/>
              </w:rPr>
            </w:pPr>
          </w:p>
        </w:tc>
        <w:tc>
          <w:tcPr>
            <w:tcW w:w="2766"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4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42435" w:rsidP="00861634">
            <w:pPr>
              <w:pStyle w:val="Body"/>
              <w:rPr>
                <w:rFonts w:ascii="Calibri" w:hAnsi="Calibri" w:cs="Calibri"/>
                <w:color w:val="auto"/>
                <w:sz w:val="18"/>
                <w:szCs w:val="18"/>
              </w:rPr>
            </w:pPr>
            <w:r w:rsidRPr="00250244">
              <w:rPr>
                <w:rFonts w:ascii="Calibri" w:hAnsi="Calibri" w:cs="Calibri"/>
                <w:color w:val="auto"/>
                <w:sz w:val="18"/>
                <w:szCs w:val="18"/>
                <w:u w:color="2F5496"/>
              </w:rPr>
              <w:t>2.3.1. Develop and organize R&amp;D supported technical training courses,</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810"/>
        </w:trPr>
        <w:tc>
          <w:tcPr>
            <w:tcW w:w="2686"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2.3.2 Organize selected trainings for managers and staff working at protected areas, reserves or other ecological sensitive areas</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PMO and training organizers ensure that at least 50% of invitees to the project trainings are women and that at least 20% are below 35 years of age.</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 xml:space="preserve">For all training invitations sent out throughout the project period. </w:t>
            </w:r>
          </w:p>
        </w:tc>
      </w:tr>
      <w:tr w:rsidR="004B4F83" w:rsidRPr="00250244">
        <w:tblPrEx>
          <w:shd w:val="clear" w:color="auto" w:fill="CDD4E9"/>
        </w:tblPrEx>
        <w:trPr>
          <w:trHeight w:val="610"/>
        </w:trPr>
        <w:tc>
          <w:tcPr>
            <w:tcW w:w="2686" w:type="dxa"/>
            <w:vMerge/>
            <w:tcBorders>
              <w:top w:val="single" w:sz="4" w:space="0" w:color="000000"/>
              <w:left w:val="single" w:sz="4" w:space="0" w:color="000000"/>
              <w:bottom w:val="single" w:sz="4" w:space="0" w:color="000000"/>
              <w:right w:val="single" w:sz="4" w:space="0" w:color="000000"/>
            </w:tcBorders>
            <w:shd w:val="clear" w:color="auto" w:fill="auto"/>
          </w:tcPr>
          <w:p w:rsidR="00D75975" w:rsidRPr="00250244" w:rsidRDefault="00D75975" w:rsidP="00861634">
            <w:pPr>
              <w:rPr>
                <w:rFonts w:ascii="Calibri" w:hAnsi="Calibri" w:cs="Calibri"/>
                <w:sz w:val="18"/>
                <w:szCs w:val="18"/>
              </w:rPr>
            </w:pP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Training organizers collect gender and age disaggregated data for the individual trainings provided.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For all trainings undertaken during the project period.</w:t>
            </w:r>
          </w:p>
        </w:tc>
      </w:tr>
      <w:tr w:rsidR="004B4F83" w:rsidRPr="00250244">
        <w:tblPrEx>
          <w:shd w:val="clear" w:color="auto" w:fill="CDD4E9"/>
        </w:tblPrEx>
        <w:trPr>
          <w:trHeight w:val="1010"/>
        </w:trPr>
        <w:tc>
          <w:tcPr>
            <w:tcW w:w="2686" w:type="dxa"/>
            <w:vMerge/>
            <w:tcBorders>
              <w:top w:val="single" w:sz="4" w:space="0" w:color="000000"/>
              <w:left w:val="single" w:sz="4" w:space="0" w:color="000000"/>
              <w:bottom w:val="single" w:sz="4" w:space="0" w:color="000000"/>
              <w:right w:val="single" w:sz="4" w:space="0" w:color="000000"/>
            </w:tcBorders>
            <w:shd w:val="clear" w:color="auto" w:fill="auto"/>
          </w:tcPr>
          <w:p w:rsidR="00D75975" w:rsidRPr="00250244" w:rsidRDefault="00D75975" w:rsidP="00861634">
            <w:pPr>
              <w:rPr>
                <w:rFonts w:ascii="Calibri" w:hAnsi="Calibri" w:cs="Calibri"/>
                <w:sz w:val="18"/>
                <w:szCs w:val="18"/>
              </w:rPr>
            </w:pP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Gender and age data and findings are outlined in specific sections of the prepared reports from the project’s trainings.</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Training organizers submit- reports to the PMO in connection with the PMOs preparation of the annual report and the GEF PIR.</w:t>
            </w:r>
          </w:p>
        </w:tc>
      </w:tr>
      <w:tr w:rsidR="00442435" w:rsidRPr="00250244">
        <w:tblPrEx>
          <w:shd w:val="clear" w:color="auto" w:fill="CDD4E9"/>
        </w:tblPrEx>
        <w:trPr>
          <w:trHeight w:val="1010"/>
        </w:trPr>
        <w:tc>
          <w:tcPr>
            <w:tcW w:w="2686" w:type="dxa"/>
            <w:tcBorders>
              <w:top w:val="single" w:sz="4" w:space="0" w:color="000000"/>
              <w:left w:val="single" w:sz="4" w:space="0" w:color="000000"/>
              <w:bottom w:val="single" w:sz="4" w:space="0" w:color="000000"/>
              <w:right w:val="single" w:sz="4" w:space="0" w:color="000000"/>
            </w:tcBorders>
            <w:shd w:val="clear" w:color="auto" w:fill="auto"/>
          </w:tcPr>
          <w:p w:rsidR="00442435" w:rsidRPr="00250244" w:rsidRDefault="00442435" w:rsidP="00861634">
            <w:pPr>
              <w:rPr>
                <w:rFonts w:ascii="Calibri" w:hAnsi="Calibri" w:cs="Calibri"/>
                <w:sz w:val="18"/>
                <w:szCs w:val="18"/>
              </w:rPr>
            </w:pPr>
            <w:r w:rsidRPr="00250244">
              <w:rPr>
                <w:rFonts w:ascii="Calibri" w:hAnsi="Calibri" w:cs="Calibri"/>
                <w:sz w:val="18"/>
                <w:szCs w:val="18"/>
                <w:u w:color="2F5496"/>
              </w:rPr>
              <w:t>2.3.3. Develop an IAS application (APP)</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42435" w:rsidRPr="00250244" w:rsidRDefault="00442435" w:rsidP="00861634">
            <w:pPr>
              <w:pStyle w:val="Body"/>
              <w:rPr>
                <w:rStyle w:val="None"/>
                <w:rFonts w:ascii="Calibri" w:eastAsia="Calibri" w:hAnsi="Calibri" w:cs="Calibri"/>
                <w:color w:val="auto"/>
                <w:sz w:val="18"/>
                <w:szCs w:val="18"/>
              </w:rPr>
            </w:pPr>
            <w:r w:rsidRPr="00250244">
              <w:rPr>
                <w:rStyle w:val="None"/>
                <w:rFonts w:ascii="Calibri" w:eastAsia="Calibri" w:hAnsi="Calibri" w:cs="Calibri"/>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42435" w:rsidRPr="00250244" w:rsidRDefault="00442435" w:rsidP="00861634">
            <w:pPr>
              <w:pStyle w:val="Body"/>
              <w:rPr>
                <w:rStyle w:val="None"/>
                <w:rFonts w:ascii="Calibri" w:eastAsia="Calibri" w:hAnsi="Calibri" w:cs="Calibri"/>
                <w:color w:val="auto"/>
                <w:sz w:val="18"/>
                <w:szCs w:val="18"/>
              </w:rPr>
            </w:pPr>
          </w:p>
        </w:tc>
      </w:tr>
      <w:tr w:rsidR="004B4F83" w:rsidRPr="00250244">
        <w:tblPrEx>
          <w:shd w:val="clear" w:color="auto" w:fill="CDD4E9"/>
        </w:tblPrEx>
        <w:trPr>
          <w:trHeight w:val="210"/>
        </w:trPr>
        <w:tc>
          <w:tcPr>
            <w:tcW w:w="2686" w:type="dxa"/>
            <w:tcBorders>
              <w:top w:val="single" w:sz="4" w:space="0" w:color="000000"/>
              <w:left w:val="single" w:sz="4" w:space="0" w:color="000000"/>
              <w:bottom w:val="single" w:sz="4" w:space="0" w:color="000000"/>
              <w:right w:val="single" w:sz="4" w:space="0" w:color="000000"/>
            </w:tcBorders>
            <w:shd w:val="clear" w:color="auto" w:fill="B4C6E7"/>
            <w:tcMar>
              <w:top w:w="80" w:type="dxa"/>
              <w:left w:w="80" w:type="dxa"/>
              <w:bottom w:w="80" w:type="dxa"/>
              <w:right w:w="80" w:type="dxa"/>
            </w:tcMar>
          </w:tcPr>
          <w:p w:rsidR="00D75975" w:rsidRPr="00250244" w:rsidRDefault="004B4F83" w:rsidP="00861634">
            <w:pPr>
              <w:pStyle w:val="Body"/>
              <w:jc w:val="both"/>
              <w:rPr>
                <w:rFonts w:ascii="Calibri" w:hAnsi="Calibri" w:cs="Calibri"/>
                <w:color w:val="auto"/>
                <w:sz w:val="18"/>
                <w:szCs w:val="18"/>
              </w:rPr>
            </w:pPr>
            <w:r w:rsidRPr="00250244">
              <w:rPr>
                <w:rStyle w:val="None"/>
                <w:rFonts w:ascii="Calibri" w:eastAsia="Calibri" w:hAnsi="Calibri" w:cs="Calibri"/>
                <w:b/>
                <w:bCs/>
                <w:color w:val="auto"/>
                <w:sz w:val="18"/>
                <w:szCs w:val="18"/>
              </w:rPr>
              <w:t>Component 3</w:t>
            </w:r>
          </w:p>
        </w:tc>
        <w:tc>
          <w:tcPr>
            <w:tcW w:w="3558" w:type="dxa"/>
            <w:tcBorders>
              <w:top w:val="single" w:sz="4" w:space="0" w:color="000000"/>
              <w:left w:val="single" w:sz="4" w:space="0" w:color="000000"/>
              <w:bottom w:val="single" w:sz="4" w:space="0" w:color="000000"/>
              <w:right w:val="single" w:sz="4" w:space="0" w:color="000000"/>
            </w:tcBorders>
            <w:shd w:val="clear" w:color="auto" w:fill="B4C6E7"/>
            <w:tcMar>
              <w:top w:w="80" w:type="dxa"/>
              <w:left w:w="80" w:type="dxa"/>
              <w:bottom w:w="80" w:type="dxa"/>
              <w:right w:w="80" w:type="dxa"/>
            </w:tcMar>
          </w:tcPr>
          <w:p w:rsidR="00D75975" w:rsidRPr="00250244" w:rsidRDefault="00D75975" w:rsidP="00861634">
            <w:pPr>
              <w:rPr>
                <w:rFonts w:ascii="Calibri" w:hAnsi="Calibri" w:cs="Calibri"/>
                <w:sz w:val="18"/>
                <w:szCs w:val="18"/>
              </w:rPr>
            </w:pPr>
          </w:p>
        </w:tc>
        <w:tc>
          <w:tcPr>
            <w:tcW w:w="2766" w:type="dxa"/>
            <w:tcBorders>
              <w:top w:val="single" w:sz="4" w:space="0" w:color="000000"/>
              <w:left w:val="single" w:sz="4" w:space="0" w:color="000000"/>
              <w:bottom w:val="single" w:sz="4" w:space="0" w:color="000000"/>
              <w:right w:val="single" w:sz="4" w:space="0" w:color="000000"/>
            </w:tcBorders>
            <w:shd w:val="clear" w:color="auto" w:fill="B4C6E7"/>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210"/>
        </w:trPr>
        <w:tc>
          <w:tcPr>
            <w:tcW w:w="2686"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b/>
                <w:bCs/>
                <w:color w:val="auto"/>
                <w:sz w:val="18"/>
                <w:szCs w:val="18"/>
              </w:rPr>
              <w:t>Output 3.1</w:t>
            </w:r>
          </w:p>
        </w:tc>
        <w:tc>
          <w:tcPr>
            <w:tcW w:w="3558"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D75975" w:rsidP="00861634">
            <w:pPr>
              <w:rPr>
                <w:rFonts w:ascii="Calibri" w:hAnsi="Calibri" w:cs="Calibri"/>
                <w:sz w:val="18"/>
                <w:szCs w:val="18"/>
              </w:rPr>
            </w:pPr>
          </w:p>
        </w:tc>
        <w:tc>
          <w:tcPr>
            <w:tcW w:w="2766"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10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3.1.1. Adapt trainings on key subjects, based on the develop training courses to address farmers and other stakeholders training needs</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 xml:space="preserve">Gender Specialist works with training developers and organizers to ensure that the local community trainings are gender sensitive, including the provision of all women trainings.  </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During the adaptation process planned for the initial part of the project’s second year.</w:t>
            </w:r>
          </w:p>
        </w:tc>
      </w:tr>
      <w:tr w:rsidR="004B4F83" w:rsidRPr="00250244">
        <w:tblPrEx>
          <w:shd w:val="clear" w:color="auto" w:fill="CDD4E9"/>
        </w:tblPrEx>
        <w:trPr>
          <w:trHeight w:val="810"/>
        </w:trPr>
        <w:tc>
          <w:tcPr>
            <w:tcW w:w="2686"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3.1.2. Organize adapted trainings for different stakeholder groups including farmers, cooperatives, enterprises and other stakeholder</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PMO and training organizers ensure that at least 50% of invitees to the project trainings are women and that at least 20% are below 35 years of age.</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 xml:space="preserve">For all training invitations sent out throughout the project period. </w:t>
            </w:r>
          </w:p>
        </w:tc>
      </w:tr>
      <w:tr w:rsidR="004B4F83" w:rsidRPr="00250244" w:rsidTr="004B4F83">
        <w:tblPrEx>
          <w:shd w:val="clear" w:color="auto" w:fill="CDD4E9"/>
        </w:tblPrEx>
        <w:trPr>
          <w:trHeight w:val="468"/>
        </w:trPr>
        <w:tc>
          <w:tcPr>
            <w:tcW w:w="2686" w:type="dxa"/>
            <w:vMerge/>
            <w:tcBorders>
              <w:top w:val="single" w:sz="4" w:space="0" w:color="000000"/>
              <w:left w:val="single" w:sz="4" w:space="0" w:color="000000"/>
              <w:bottom w:val="single" w:sz="4" w:space="0" w:color="000000"/>
              <w:right w:val="single" w:sz="4" w:space="0" w:color="000000"/>
            </w:tcBorders>
            <w:shd w:val="clear" w:color="auto" w:fill="auto"/>
          </w:tcPr>
          <w:p w:rsidR="00D75975" w:rsidRPr="00250244" w:rsidRDefault="00D75975" w:rsidP="00861634">
            <w:pPr>
              <w:rPr>
                <w:rFonts w:ascii="Calibri" w:hAnsi="Calibri" w:cs="Calibri"/>
                <w:sz w:val="18"/>
                <w:szCs w:val="18"/>
              </w:rPr>
            </w:pP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Training organizers collect gender and age disaggregated data for the individual trainings provided.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For all trainings undertaken during the project period.</w:t>
            </w:r>
          </w:p>
        </w:tc>
      </w:tr>
      <w:tr w:rsidR="004B4F83" w:rsidRPr="00250244" w:rsidTr="004B4F83">
        <w:tblPrEx>
          <w:shd w:val="clear" w:color="auto" w:fill="CDD4E9"/>
        </w:tblPrEx>
        <w:trPr>
          <w:trHeight w:val="720"/>
        </w:trPr>
        <w:tc>
          <w:tcPr>
            <w:tcW w:w="2686" w:type="dxa"/>
            <w:vMerge/>
            <w:tcBorders>
              <w:top w:val="single" w:sz="4" w:space="0" w:color="000000"/>
              <w:left w:val="single" w:sz="4" w:space="0" w:color="000000"/>
              <w:bottom w:val="single" w:sz="4" w:space="0" w:color="000000"/>
              <w:right w:val="single" w:sz="4" w:space="0" w:color="000000"/>
            </w:tcBorders>
            <w:shd w:val="clear" w:color="auto" w:fill="auto"/>
          </w:tcPr>
          <w:p w:rsidR="00D75975" w:rsidRPr="00250244" w:rsidRDefault="00D75975" w:rsidP="00861634">
            <w:pPr>
              <w:rPr>
                <w:rFonts w:ascii="Calibri" w:hAnsi="Calibri" w:cs="Calibri"/>
                <w:sz w:val="18"/>
                <w:szCs w:val="18"/>
              </w:rPr>
            </w:pP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Gender and age data and findings are outlined in specific sections of the prepared reports from the project’s trainings.</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Training organizers submit reports to the PMO in connection with the PMOs preparation of the annual report and the GEF PIR.</w:t>
            </w:r>
          </w:p>
        </w:tc>
      </w:tr>
      <w:tr w:rsidR="004B4F83" w:rsidRPr="00250244">
        <w:tblPrEx>
          <w:shd w:val="clear" w:color="auto" w:fill="CDD4E9"/>
        </w:tblPrEx>
        <w:trPr>
          <w:trHeight w:val="210"/>
        </w:trPr>
        <w:tc>
          <w:tcPr>
            <w:tcW w:w="2686"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b/>
                <w:bCs/>
                <w:color w:val="auto"/>
                <w:sz w:val="18"/>
                <w:szCs w:val="18"/>
              </w:rPr>
              <w:t>Output 3.2</w:t>
            </w:r>
          </w:p>
        </w:tc>
        <w:tc>
          <w:tcPr>
            <w:tcW w:w="3558"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D75975" w:rsidP="00861634">
            <w:pPr>
              <w:rPr>
                <w:rFonts w:ascii="Calibri" w:hAnsi="Calibri" w:cs="Calibri"/>
                <w:sz w:val="18"/>
                <w:szCs w:val="18"/>
              </w:rPr>
            </w:pPr>
          </w:p>
        </w:tc>
        <w:tc>
          <w:tcPr>
            <w:tcW w:w="2766"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810"/>
        </w:trPr>
        <w:tc>
          <w:tcPr>
            <w:tcW w:w="2686"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 xml:space="preserve">3.2.1. Demonstrate verified and applicable </w:t>
            </w:r>
            <w:r w:rsidRPr="00250244">
              <w:rPr>
                <w:rStyle w:val="None"/>
                <w:color w:val="auto"/>
                <w:sz w:val="18"/>
                <w:szCs w:val="18"/>
                <w:lang w:val="it-IT"/>
              </w:rPr>
              <w:t xml:space="preserve">participatory IAS </w:t>
            </w:r>
            <w:r w:rsidRPr="00250244">
              <w:rPr>
                <w:rStyle w:val="None"/>
                <w:color w:val="auto"/>
                <w:sz w:val="18"/>
                <w:szCs w:val="18"/>
              </w:rPr>
              <w:t xml:space="preserve">Management approaches </w:t>
            </w:r>
            <w:r w:rsidRPr="00250244">
              <w:rPr>
                <w:rStyle w:val="None"/>
                <w:color w:val="auto"/>
                <w:sz w:val="18"/>
                <w:szCs w:val="18"/>
                <w:lang w:val="de-DE"/>
              </w:rPr>
              <w:t>in Wenchang</w:t>
            </w:r>
            <w:r w:rsidRPr="00250244">
              <w:rPr>
                <w:rStyle w:val="None"/>
                <w:color w:val="auto"/>
                <w:sz w:val="18"/>
                <w:szCs w:val="18"/>
              </w:rPr>
              <w:t xml:space="preserve"> and Bishan </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PMO and training organizers ensure that at least 50% of invitees to the project trainings are women and that at least 20% are below 35 years of age.</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 xml:space="preserve">For the local trainings held during the mid of the second year. </w:t>
            </w:r>
          </w:p>
        </w:tc>
      </w:tr>
      <w:tr w:rsidR="004B4F83" w:rsidRPr="00250244">
        <w:tblPrEx>
          <w:shd w:val="clear" w:color="auto" w:fill="CDD4E9"/>
        </w:tblPrEx>
        <w:trPr>
          <w:trHeight w:val="610"/>
        </w:trPr>
        <w:tc>
          <w:tcPr>
            <w:tcW w:w="2686" w:type="dxa"/>
            <w:vMerge/>
            <w:tcBorders>
              <w:top w:val="single" w:sz="4" w:space="0" w:color="000000"/>
              <w:left w:val="single" w:sz="4" w:space="0" w:color="000000"/>
              <w:bottom w:val="single" w:sz="4" w:space="0" w:color="000000"/>
              <w:right w:val="single" w:sz="4" w:space="0" w:color="000000"/>
            </w:tcBorders>
            <w:shd w:val="clear" w:color="auto" w:fill="auto"/>
          </w:tcPr>
          <w:p w:rsidR="00D75975" w:rsidRPr="00250244" w:rsidRDefault="00D75975" w:rsidP="00861634">
            <w:pPr>
              <w:rPr>
                <w:rFonts w:ascii="Calibri" w:hAnsi="Calibri" w:cs="Calibri"/>
                <w:sz w:val="18"/>
                <w:szCs w:val="18"/>
              </w:rPr>
            </w:pP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Training organizers collect gender and age disaggregated data for the individual trainings provided.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For the local trainings held during the mid of the second year</w:t>
            </w:r>
          </w:p>
        </w:tc>
      </w:tr>
      <w:tr w:rsidR="004B4F83" w:rsidRPr="00250244" w:rsidTr="008B2ED3">
        <w:tblPrEx>
          <w:shd w:val="clear" w:color="auto" w:fill="CDD4E9"/>
        </w:tblPrEx>
        <w:trPr>
          <w:trHeight w:val="792"/>
        </w:trPr>
        <w:tc>
          <w:tcPr>
            <w:tcW w:w="2686" w:type="dxa"/>
            <w:vMerge/>
            <w:tcBorders>
              <w:top w:val="single" w:sz="4" w:space="0" w:color="000000"/>
              <w:left w:val="single" w:sz="4" w:space="0" w:color="000000"/>
              <w:bottom w:val="single" w:sz="4" w:space="0" w:color="000000"/>
              <w:right w:val="single" w:sz="4" w:space="0" w:color="000000"/>
            </w:tcBorders>
            <w:shd w:val="clear" w:color="auto" w:fill="auto"/>
          </w:tcPr>
          <w:p w:rsidR="00D75975" w:rsidRPr="00250244" w:rsidRDefault="00D75975" w:rsidP="00861634">
            <w:pPr>
              <w:rPr>
                <w:rFonts w:ascii="Calibri" w:hAnsi="Calibri" w:cs="Calibri"/>
                <w:sz w:val="18"/>
                <w:szCs w:val="18"/>
              </w:rPr>
            </w:pP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Gender and age data and findings are outlined in specific sections of the prepared reports from the project’s trainings.</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Training organizers submit reports to the PMO in connection with the PMOs preparation of the second year annual report and the second GEF PIR.</w:t>
            </w:r>
          </w:p>
        </w:tc>
      </w:tr>
      <w:tr w:rsidR="004B4F83" w:rsidRPr="00250244" w:rsidTr="008B2ED3">
        <w:tblPrEx>
          <w:shd w:val="clear" w:color="auto" w:fill="CDD4E9"/>
        </w:tblPrEx>
        <w:trPr>
          <w:trHeight w:val="22"/>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42435" w:rsidP="00861634">
            <w:pPr>
              <w:pStyle w:val="BodyA"/>
              <w:rPr>
                <w:color w:val="auto"/>
                <w:sz w:val="18"/>
                <w:szCs w:val="18"/>
              </w:rPr>
            </w:pPr>
            <w:r w:rsidRPr="00250244">
              <w:rPr>
                <w:color w:val="auto"/>
                <w:sz w:val="18"/>
                <w:szCs w:val="18"/>
                <w:u w:color="2F5496"/>
              </w:rPr>
              <w:t>3.2.2. Utilize the publicly accessible IAS APP for on the ground IAS identification and monitoring</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rsidTr="008B2ED3">
        <w:tblPrEx>
          <w:shd w:val="clear" w:color="auto" w:fill="CDD4E9"/>
        </w:tblPrEx>
        <w:trPr>
          <w:trHeight w:val="22"/>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 xml:space="preserve">3.2.3. Support the establishment IAS Management Science Base/ Public Science Popularization Base </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210"/>
        </w:trPr>
        <w:tc>
          <w:tcPr>
            <w:tcW w:w="2686"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4B4F83" w:rsidP="00861634">
            <w:pPr>
              <w:pStyle w:val="Body"/>
              <w:jc w:val="both"/>
              <w:rPr>
                <w:rFonts w:ascii="Calibri" w:hAnsi="Calibri" w:cs="Calibri"/>
                <w:color w:val="auto"/>
                <w:sz w:val="18"/>
                <w:szCs w:val="18"/>
              </w:rPr>
            </w:pPr>
            <w:r w:rsidRPr="00250244">
              <w:rPr>
                <w:rStyle w:val="None"/>
                <w:rFonts w:ascii="Calibri" w:eastAsia="Calibri" w:hAnsi="Calibri" w:cs="Calibri"/>
                <w:b/>
                <w:bCs/>
                <w:color w:val="auto"/>
                <w:sz w:val="18"/>
                <w:szCs w:val="18"/>
              </w:rPr>
              <w:t>Output 3.3</w:t>
            </w:r>
          </w:p>
        </w:tc>
        <w:tc>
          <w:tcPr>
            <w:tcW w:w="3558"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D75975" w:rsidP="00861634">
            <w:pPr>
              <w:rPr>
                <w:rFonts w:ascii="Calibri" w:hAnsi="Calibri" w:cs="Calibri"/>
                <w:sz w:val="18"/>
                <w:szCs w:val="18"/>
              </w:rPr>
            </w:pPr>
          </w:p>
        </w:tc>
        <w:tc>
          <w:tcPr>
            <w:tcW w:w="2766"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8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 xml:space="preserve">3.3.1 Design the IAS distribution survey and IAS impact assessment of selected IAS in Wenchang and Bishan </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10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 xml:space="preserve">3.3.2 Design the IAS distribution survey and IAS impact assessment of selected main IAS in a representative protected area </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rsidTr="008B2ED3">
        <w:tblPrEx>
          <w:shd w:val="clear" w:color="auto" w:fill="CDD4E9"/>
        </w:tblPrEx>
        <w:trPr>
          <w:trHeight w:val="108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42435" w:rsidP="00861634">
            <w:pPr>
              <w:pStyle w:val="Body"/>
              <w:rPr>
                <w:rFonts w:ascii="Calibri" w:hAnsi="Calibri" w:cs="Calibri"/>
                <w:color w:val="auto"/>
                <w:sz w:val="18"/>
                <w:szCs w:val="18"/>
              </w:rPr>
            </w:pPr>
            <w:r w:rsidRPr="00250244">
              <w:rPr>
                <w:rFonts w:ascii="Calibri" w:hAnsi="Calibri" w:cs="Calibri"/>
                <w:color w:val="auto"/>
                <w:sz w:val="18"/>
                <w:szCs w:val="18"/>
                <w:u w:color="2F5496"/>
              </w:rPr>
              <w:t xml:space="preserve">3.3.3. </w:t>
            </w:r>
            <w:bookmarkStart w:id="1" w:name="_Hlk530984786"/>
            <w:r w:rsidRPr="00250244">
              <w:rPr>
                <w:rFonts w:ascii="Calibri" w:hAnsi="Calibri" w:cs="Calibri"/>
                <w:color w:val="auto"/>
                <w:sz w:val="18"/>
                <w:szCs w:val="18"/>
                <w:u w:color="2F5496"/>
              </w:rPr>
              <w:t>Undertake the IAS distribution survey and IAS impact assessment in Wenchang, Bishan and a representative protected area,</w:t>
            </w:r>
            <w:bookmarkEnd w:id="1"/>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 xml:space="preserve">The PMO and the local project authorities, as part of the public campaign for engaging farmers, NGO/CSO and the public in using the IAS APP for IAS identification and monitoring, will pay particular attention to contact women’s groups such as the local ACWF. </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End of year one.</w:t>
            </w:r>
          </w:p>
        </w:tc>
      </w:tr>
      <w:tr w:rsidR="004B4F83" w:rsidRPr="00250244">
        <w:tblPrEx>
          <w:shd w:val="clear" w:color="auto" w:fill="CDD4E9"/>
        </w:tblPrEx>
        <w:trPr>
          <w:trHeight w:val="8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42435" w:rsidP="00861634">
            <w:pPr>
              <w:pStyle w:val="Body"/>
              <w:rPr>
                <w:rFonts w:ascii="Calibri" w:hAnsi="Calibri" w:cs="Calibri"/>
                <w:color w:val="auto"/>
                <w:sz w:val="18"/>
                <w:szCs w:val="18"/>
              </w:rPr>
            </w:pPr>
            <w:r w:rsidRPr="00250244">
              <w:rPr>
                <w:rFonts w:ascii="Calibri" w:hAnsi="Calibri" w:cs="Calibri"/>
                <w:color w:val="auto"/>
                <w:sz w:val="18"/>
                <w:szCs w:val="18"/>
                <w:u w:color="2F5496"/>
              </w:rPr>
              <w:t>3.3.4. Formulate the IAS distribution survey and IAS impact assessment reports for Wenchang, Bishan</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210"/>
        </w:trPr>
        <w:tc>
          <w:tcPr>
            <w:tcW w:w="2686"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4B4F83" w:rsidP="00861634">
            <w:pPr>
              <w:pStyle w:val="Body"/>
              <w:jc w:val="both"/>
              <w:rPr>
                <w:rFonts w:ascii="Calibri" w:hAnsi="Calibri" w:cs="Calibri"/>
                <w:color w:val="auto"/>
                <w:sz w:val="18"/>
                <w:szCs w:val="18"/>
              </w:rPr>
            </w:pPr>
            <w:r w:rsidRPr="00250244">
              <w:rPr>
                <w:rStyle w:val="None"/>
                <w:rFonts w:ascii="Calibri" w:eastAsia="Calibri" w:hAnsi="Calibri" w:cs="Calibri"/>
                <w:b/>
                <w:bCs/>
                <w:color w:val="auto"/>
                <w:sz w:val="18"/>
                <w:szCs w:val="18"/>
              </w:rPr>
              <w:t>Output 3.4</w:t>
            </w:r>
          </w:p>
        </w:tc>
        <w:tc>
          <w:tcPr>
            <w:tcW w:w="3558"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D75975" w:rsidP="00861634">
            <w:pPr>
              <w:rPr>
                <w:rFonts w:ascii="Calibri" w:hAnsi="Calibri" w:cs="Calibri"/>
                <w:sz w:val="18"/>
                <w:szCs w:val="18"/>
              </w:rPr>
            </w:pPr>
          </w:p>
        </w:tc>
        <w:tc>
          <w:tcPr>
            <w:tcW w:w="2766"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1210"/>
        </w:trPr>
        <w:tc>
          <w:tcPr>
            <w:tcW w:w="2686"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42435" w:rsidP="00861634">
            <w:pPr>
              <w:pStyle w:val="Body"/>
              <w:rPr>
                <w:rFonts w:ascii="Calibri" w:hAnsi="Calibri" w:cs="Calibri"/>
                <w:color w:val="auto"/>
                <w:sz w:val="18"/>
                <w:szCs w:val="18"/>
              </w:rPr>
            </w:pPr>
            <w:r w:rsidRPr="00250244">
              <w:rPr>
                <w:rFonts w:ascii="Calibri" w:hAnsi="Calibri" w:cs="Calibri"/>
                <w:color w:val="auto"/>
                <w:sz w:val="18"/>
                <w:szCs w:val="18"/>
                <w:u w:color="2F5496"/>
              </w:rPr>
              <w:t>3.4.1 Formulate IAS Management plans for Wenchang city and Bishan district</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PMO informs relevant parties that the project promotes gender equality and the mainstreaming of women and encourages the selection of women to participate in the IAS Management plans working and stakeholder groups.</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Prior to establishment of the IAS Management plans working and stakeholder groups.</w:t>
            </w:r>
          </w:p>
        </w:tc>
      </w:tr>
      <w:tr w:rsidR="004B4F83" w:rsidRPr="00250244" w:rsidTr="008B2ED3">
        <w:tblPrEx>
          <w:shd w:val="clear" w:color="auto" w:fill="CDD4E9"/>
        </w:tblPrEx>
        <w:trPr>
          <w:trHeight w:val="396"/>
        </w:trPr>
        <w:tc>
          <w:tcPr>
            <w:tcW w:w="2686" w:type="dxa"/>
            <w:vMerge/>
            <w:tcBorders>
              <w:top w:val="single" w:sz="4" w:space="0" w:color="000000"/>
              <w:left w:val="single" w:sz="4" w:space="0" w:color="000000"/>
              <w:bottom w:val="single" w:sz="4" w:space="0" w:color="000000"/>
              <w:right w:val="single" w:sz="4" w:space="0" w:color="000000"/>
            </w:tcBorders>
            <w:shd w:val="clear" w:color="auto" w:fill="auto"/>
          </w:tcPr>
          <w:p w:rsidR="00D75975" w:rsidRPr="00250244" w:rsidRDefault="00D75975" w:rsidP="00861634">
            <w:pPr>
              <w:rPr>
                <w:rFonts w:ascii="Calibri" w:hAnsi="Calibri" w:cs="Calibri"/>
                <w:sz w:val="18"/>
                <w:szCs w:val="18"/>
              </w:rPr>
            </w:pP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PMO collects gender disaggregated data on IAS Management plans working and stakeholder groups.</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In connection with the meetings of the IAS Management plans working and stakeholder groups.</w:t>
            </w:r>
          </w:p>
        </w:tc>
      </w:tr>
      <w:tr w:rsidR="004B4F83" w:rsidRPr="00250244">
        <w:tblPrEx>
          <w:shd w:val="clear" w:color="auto" w:fill="CDD4E9"/>
        </w:tblPrEx>
        <w:trPr>
          <w:trHeight w:val="1410"/>
        </w:trPr>
        <w:tc>
          <w:tcPr>
            <w:tcW w:w="2686"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42435" w:rsidP="00861634">
            <w:pPr>
              <w:pStyle w:val="Body"/>
              <w:rPr>
                <w:rFonts w:ascii="Calibri" w:hAnsi="Calibri" w:cs="Calibri"/>
                <w:color w:val="auto"/>
                <w:sz w:val="18"/>
                <w:szCs w:val="18"/>
              </w:rPr>
            </w:pPr>
            <w:r w:rsidRPr="00250244">
              <w:rPr>
                <w:rFonts w:ascii="Calibri" w:hAnsi="Calibri" w:cs="Calibri"/>
                <w:color w:val="auto"/>
                <w:sz w:val="18"/>
                <w:szCs w:val="18"/>
                <w:u w:color="2F5496"/>
              </w:rPr>
              <w:t>3.4.</w:t>
            </w:r>
            <w:r w:rsidRPr="00250244">
              <w:rPr>
                <w:rFonts w:ascii="Calibri" w:hAnsi="Calibri" w:cs="Calibri"/>
                <w:bCs/>
                <w:color w:val="auto"/>
                <w:sz w:val="18"/>
                <w:szCs w:val="18"/>
                <w:u w:color="2F5496"/>
              </w:rPr>
              <w:t>2</w:t>
            </w:r>
            <w:r w:rsidRPr="00250244">
              <w:rPr>
                <w:rFonts w:ascii="Calibri" w:hAnsi="Calibri" w:cs="Calibri"/>
                <w:color w:val="auto"/>
                <w:sz w:val="18"/>
                <w:szCs w:val="18"/>
                <w:u w:color="2F5496"/>
              </w:rPr>
              <w:t xml:space="preserve"> Implement the IAS Management plans for the two project targeted agricultural landscapes in Wenchang city and Bishan district</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The main implementers of the IAS Management plans will be the local farming communities</w:t>
            </w:r>
            <w:r w:rsidR="00250244" w:rsidRPr="00250244">
              <w:rPr>
                <w:rStyle w:val="None"/>
                <w:rFonts w:ascii="Calibri" w:eastAsia="Calibri" w:hAnsi="Calibri" w:cs="Calibri"/>
                <w:color w:val="auto"/>
                <w:sz w:val="18"/>
                <w:szCs w:val="18"/>
              </w:rPr>
              <w:t>,</w:t>
            </w:r>
            <w:r w:rsidRPr="00250244">
              <w:rPr>
                <w:rStyle w:val="None"/>
                <w:rFonts w:ascii="Calibri" w:eastAsia="Calibri" w:hAnsi="Calibri" w:cs="Calibri"/>
                <w:color w:val="auto"/>
                <w:sz w:val="18"/>
                <w:szCs w:val="18"/>
              </w:rPr>
              <w:t xml:space="preserve"> which have received training under the project</w:t>
            </w:r>
            <w:r w:rsidR="00250244" w:rsidRPr="00250244">
              <w:rPr>
                <w:rStyle w:val="None"/>
                <w:rFonts w:ascii="Calibri" w:eastAsia="Calibri" w:hAnsi="Calibri" w:cs="Calibri"/>
                <w:color w:val="auto"/>
                <w:sz w:val="18"/>
                <w:szCs w:val="18"/>
              </w:rPr>
              <w:t>,</w:t>
            </w:r>
            <w:r w:rsidRPr="00250244">
              <w:rPr>
                <w:rStyle w:val="None"/>
                <w:rFonts w:ascii="Calibri" w:eastAsia="Calibri" w:hAnsi="Calibri" w:cs="Calibri"/>
                <w:color w:val="auto"/>
                <w:sz w:val="18"/>
                <w:szCs w:val="18"/>
              </w:rPr>
              <w:t xml:space="preserve"> and it is expected that the male/female engagement will mirror that of the trainings. </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rsidTr="008B2ED3">
        <w:tblPrEx>
          <w:shd w:val="clear" w:color="auto" w:fill="CDD4E9"/>
        </w:tblPrEx>
        <w:trPr>
          <w:trHeight w:val="900"/>
        </w:trPr>
        <w:tc>
          <w:tcPr>
            <w:tcW w:w="2686" w:type="dxa"/>
            <w:vMerge/>
            <w:tcBorders>
              <w:top w:val="single" w:sz="4" w:space="0" w:color="000000"/>
              <w:left w:val="single" w:sz="4" w:space="0" w:color="000000"/>
              <w:bottom w:val="single" w:sz="4" w:space="0" w:color="000000"/>
              <w:right w:val="single" w:sz="4" w:space="0" w:color="000000"/>
            </w:tcBorders>
            <w:shd w:val="clear" w:color="auto" w:fill="auto"/>
          </w:tcPr>
          <w:p w:rsidR="00D75975" w:rsidRPr="00250244" w:rsidRDefault="00D75975" w:rsidP="00861634">
            <w:pPr>
              <w:rPr>
                <w:rFonts w:ascii="Calibri" w:hAnsi="Calibri" w:cs="Calibri"/>
                <w:sz w:val="18"/>
                <w:szCs w:val="18"/>
              </w:rPr>
            </w:pP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Local project authorities will report to the PMO on the approximate level of engagement in the projects target areas.</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Starting from year two Local project authorities submit reports to the PMO in connection with the PMOs preparation of the annual report and the GEF PIR.</w:t>
            </w:r>
          </w:p>
        </w:tc>
      </w:tr>
      <w:tr w:rsidR="004B4F83" w:rsidRPr="00250244">
        <w:tblPrEx>
          <w:shd w:val="clear" w:color="auto" w:fill="CDD4E9"/>
        </w:tblPrEx>
        <w:trPr>
          <w:trHeight w:val="210"/>
        </w:trPr>
        <w:tc>
          <w:tcPr>
            <w:tcW w:w="2686" w:type="dxa"/>
            <w:tcBorders>
              <w:top w:val="single" w:sz="4" w:space="0" w:color="000000"/>
              <w:left w:val="single" w:sz="4" w:space="0" w:color="000000"/>
              <w:bottom w:val="single" w:sz="4" w:space="0" w:color="000000"/>
              <w:right w:val="single" w:sz="4" w:space="0" w:color="000000"/>
            </w:tcBorders>
            <w:shd w:val="clear" w:color="auto" w:fill="8EAADB"/>
            <w:tcMar>
              <w:top w:w="80" w:type="dxa"/>
              <w:left w:w="80" w:type="dxa"/>
              <w:bottom w:w="80" w:type="dxa"/>
              <w:right w:w="80" w:type="dxa"/>
            </w:tcMar>
          </w:tcPr>
          <w:p w:rsidR="00D75975" w:rsidRPr="00250244" w:rsidRDefault="004B4F83" w:rsidP="00861634">
            <w:pPr>
              <w:pStyle w:val="Body"/>
              <w:jc w:val="both"/>
              <w:rPr>
                <w:rFonts w:ascii="Calibri" w:hAnsi="Calibri" w:cs="Calibri"/>
                <w:color w:val="auto"/>
                <w:sz w:val="18"/>
                <w:szCs w:val="18"/>
              </w:rPr>
            </w:pPr>
            <w:r w:rsidRPr="00250244">
              <w:rPr>
                <w:rStyle w:val="None"/>
                <w:rFonts w:ascii="Calibri" w:eastAsia="Calibri" w:hAnsi="Calibri" w:cs="Calibri"/>
                <w:b/>
                <w:bCs/>
                <w:color w:val="auto"/>
                <w:sz w:val="18"/>
                <w:szCs w:val="18"/>
              </w:rPr>
              <w:t>Component 3</w:t>
            </w:r>
          </w:p>
        </w:tc>
        <w:tc>
          <w:tcPr>
            <w:tcW w:w="3558" w:type="dxa"/>
            <w:tcBorders>
              <w:top w:val="single" w:sz="4" w:space="0" w:color="000000"/>
              <w:left w:val="single" w:sz="4" w:space="0" w:color="000000"/>
              <w:bottom w:val="single" w:sz="4" w:space="0" w:color="000000"/>
              <w:right w:val="single" w:sz="4" w:space="0" w:color="000000"/>
            </w:tcBorders>
            <w:shd w:val="clear" w:color="auto" w:fill="8EAADB"/>
            <w:tcMar>
              <w:top w:w="80" w:type="dxa"/>
              <w:left w:w="80" w:type="dxa"/>
              <w:bottom w:w="80" w:type="dxa"/>
              <w:right w:w="80" w:type="dxa"/>
            </w:tcMar>
          </w:tcPr>
          <w:p w:rsidR="00D75975" w:rsidRPr="00250244" w:rsidRDefault="00D75975" w:rsidP="00861634">
            <w:pPr>
              <w:rPr>
                <w:rFonts w:ascii="Calibri" w:hAnsi="Calibri" w:cs="Calibri"/>
                <w:sz w:val="18"/>
                <w:szCs w:val="18"/>
              </w:rPr>
            </w:pPr>
          </w:p>
        </w:tc>
        <w:tc>
          <w:tcPr>
            <w:tcW w:w="2766" w:type="dxa"/>
            <w:tcBorders>
              <w:top w:val="single" w:sz="4" w:space="0" w:color="000000"/>
              <w:left w:val="single" w:sz="4" w:space="0" w:color="000000"/>
              <w:bottom w:val="single" w:sz="4" w:space="0" w:color="000000"/>
              <w:right w:val="single" w:sz="4" w:space="0" w:color="000000"/>
            </w:tcBorders>
            <w:shd w:val="clear" w:color="auto" w:fill="8EAADB"/>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rsidTr="008B2ED3">
        <w:tblPrEx>
          <w:shd w:val="clear" w:color="auto" w:fill="CDD4E9"/>
        </w:tblPrEx>
        <w:trPr>
          <w:trHeight w:val="72"/>
        </w:trPr>
        <w:tc>
          <w:tcPr>
            <w:tcW w:w="2686"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4B4F83" w:rsidP="00861634">
            <w:pPr>
              <w:pStyle w:val="Body"/>
              <w:jc w:val="both"/>
              <w:rPr>
                <w:rFonts w:ascii="Calibri" w:hAnsi="Calibri" w:cs="Calibri"/>
                <w:color w:val="auto"/>
                <w:sz w:val="18"/>
                <w:szCs w:val="18"/>
              </w:rPr>
            </w:pPr>
            <w:r w:rsidRPr="00250244">
              <w:rPr>
                <w:rStyle w:val="None"/>
                <w:rFonts w:ascii="Calibri" w:eastAsia="Calibri" w:hAnsi="Calibri" w:cs="Calibri"/>
                <w:b/>
                <w:bCs/>
                <w:color w:val="auto"/>
                <w:sz w:val="18"/>
                <w:szCs w:val="18"/>
              </w:rPr>
              <w:t>Output 4.1</w:t>
            </w:r>
          </w:p>
        </w:tc>
        <w:tc>
          <w:tcPr>
            <w:tcW w:w="3558"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D75975" w:rsidP="00861634">
            <w:pPr>
              <w:rPr>
                <w:rFonts w:ascii="Calibri" w:hAnsi="Calibri" w:cs="Calibri"/>
                <w:sz w:val="18"/>
                <w:szCs w:val="18"/>
              </w:rPr>
            </w:pPr>
          </w:p>
        </w:tc>
        <w:tc>
          <w:tcPr>
            <w:tcW w:w="2766"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rsidTr="008B2ED3">
        <w:tblPrEx>
          <w:shd w:val="clear" w:color="auto" w:fill="CDD4E9"/>
        </w:tblPrEx>
        <w:trPr>
          <w:trHeight w:val="702"/>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4.1.1. Undertake the knowledge, attitude and practices (KAP survey)</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 xml:space="preserve">The KAP survey team ensures that there is equal gender representation among the respondents, as well as having gender balanced focus groups (which could include all women and/or all men groups).  </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 xml:space="preserve">KAP survey undertaken within the first six months of the project and the KAP survey at the end of the project. </w:t>
            </w:r>
          </w:p>
        </w:tc>
      </w:tr>
      <w:tr w:rsidR="004B4F83" w:rsidRPr="00250244">
        <w:tblPrEx>
          <w:shd w:val="clear" w:color="auto" w:fill="CDD4E9"/>
        </w:tblPrEx>
        <w:trPr>
          <w:trHeight w:val="6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 xml:space="preserve">4.1.2. Develop the projects knowledge management action plan, </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 xml:space="preserve">Based on the KAP survey etc. PMO will determine if specific gender related knowledge activities are needed </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During year one.</w:t>
            </w:r>
          </w:p>
        </w:tc>
      </w:tr>
      <w:tr w:rsidR="004B4F83" w:rsidRPr="00250244" w:rsidTr="008B2ED3">
        <w:tblPrEx>
          <w:shd w:val="clear" w:color="auto" w:fill="CDD4E9"/>
        </w:tblPrEx>
        <w:trPr>
          <w:trHeight w:val="387"/>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 xml:space="preserve">4.1.3. Develop IAS education and awareness-raising materials </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PMO will together with the developers of the awareness raising materials, and based on the findings under 4.1.2 determine if specific gender related awareness raising is needed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A"/>
              <w:rPr>
                <w:color w:val="auto"/>
                <w:sz w:val="18"/>
                <w:szCs w:val="18"/>
              </w:rPr>
            </w:pPr>
            <w:r w:rsidRPr="00250244">
              <w:rPr>
                <w:rStyle w:val="None"/>
                <w:color w:val="auto"/>
                <w:sz w:val="18"/>
                <w:szCs w:val="18"/>
              </w:rPr>
              <w:t>Throughout the project duration.</w:t>
            </w:r>
          </w:p>
        </w:tc>
      </w:tr>
      <w:tr w:rsidR="00442435" w:rsidRPr="00250244">
        <w:tblPrEx>
          <w:shd w:val="clear" w:color="auto" w:fill="CDD4E9"/>
        </w:tblPrEx>
        <w:trPr>
          <w:trHeight w:val="6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42435" w:rsidRPr="00250244" w:rsidRDefault="00442435" w:rsidP="00861634">
            <w:pPr>
              <w:pStyle w:val="Body"/>
              <w:rPr>
                <w:rStyle w:val="None"/>
                <w:rFonts w:ascii="Calibri" w:eastAsia="Calibri" w:hAnsi="Calibri" w:cs="Calibri"/>
                <w:color w:val="auto"/>
                <w:sz w:val="18"/>
                <w:szCs w:val="18"/>
              </w:rPr>
            </w:pPr>
            <w:r w:rsidRPr="00250244">
              <w:rPr>
                <w:rFonts w:ascii="Calibri" w:hAnsi="Calibri" w:cs="Calibri"/>
                <w:color w:val="auto"/>
                <w:sz w:val="18"/>
                <w:szCs w:val="18"/>
              </w:rPr>
              <w:t>4.1.4 Develop and publicize Massive Open Online Courses (MOOC).</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42435" w:rsidRPr="00250244" w:rsidRDefault="00250244" w:rsidP="00861634">
            <w:pPr>
              <w:pStyle w:val="Body"/>
              <w:rPr>
                <w:rStyle w:val="None"/>
                <w:rFonts w:ascii="Calibri" w:eastAsia="Calibri" w:hAnsi="Calibri" w:cs="Calibri"/>
                <w:color w:val="auto"/>
                <w:sz w:val="18"/>
                <w:szCs w:val="18"/>
              </w:rPr>
            </w:pPr>
            <w:r w:rsidRPr="00250244">
              <w:rPr>
                <w:rStyle w:val="None"/>
                <w:rFonts w:ascii="Calibri" w:eastAsia="Calibri" w:hAnsi="Calibri" w:cs="Calibri"/>
                <w:color w:val="auto"/>
                <w:sz w:val="18"/>
                <w:szCs w:val="18"/>
              </w:rPr>
              <w:t>Same as above</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42435" w:rsidRPr="00250244" w:rsidRDefault="00250244" w:rsidP="00861634">
            <w:pPr>
              <w:rPr>
                <w:rFonts w:ascii="Calibri" w:hAnsi="Calibri" w:cs="Calibri"/>
                <w:sz w:val="18"/>
                <w:szCs w:val="18"/>
              </w:rPr>
            </w:pPr>
            <w:r w:rsidRPr="00250244">
              <w:rPr>
                <w:rStyle w:val="None"/>
                <w:rFonts w:ascii="Calibri" w:eastAsia="Calibri" w:hAnsi="Calibri" w:cs="Calibri"/>
                <w:sz w:val="18"/>
                <w:szCs w:val="18"/>
              </w:rPr>
              <w:t>Same as above</w:t>
            </w:r>
          </w:p>
        </w:tc>
      </w:tr>
      <w:tr w:rsidR="004B4F83" w:rsidRPr="00250244">
        <w:tblPrEx>
          <w:shd w:val="clear" w:color="auto" w:fill="CDD4E9"/>
        </w:tblPrEx>
        <w:trPr>
          <w:trHeight w:val="6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4.1.</w:t>
            </w:r>
            <w:r w:rsidR="00442435" w:rsidRPr="00250244">
              <w:rPr>
                <w:rStyle w:val="None"/>
                <w:rFonts w:ascii="Calibri" w:eastAsia="Calibri" w:hAnsi="Calibri" w:cs="Calibri"/>
                <w:color w:val="auto"/>
                <w:sz w:val="18"/>
                <w:szCs w:val="18"/>
              </w:rPr>
              <w:t>5</w:t>
            </w:r>
            <w:r w:rsidRPr="00250244">
              <w:rPr>
                <w:rStyle w:val="None"/>
                <w:rFonts w:ascii="Calibri" w:eastAsia="Calibri" w:hAnsi="Calibri" w:cs="Calibri"/>
                <w:color w:val="auto"/>
                <w:sz w:val="18"/>
                <w:szCs w:val="18"/>
              </w:rPr>
              <w:t>. Organize publicity and awareness events at national, provincial and local levels,</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Same as above</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250244" w:rsidP="00861634">
            <w:pPr>
              <w:rPr>
                <w:rFonts w:ascii="Calibri" w:hAnsi="Calibri" w:cs="Calibri"/>
                <w:sz w:val="18"/>
                <w:szCs w:val="18"/>
              </w:rPr>
            </w:pPr>
            <w:r w:rsidRPr="00250244">
              <w:rPr>
                <w:rStyle w:val="None"/>
                <w:rFonts w:ascii="Calibri" w:eastAsia="Calibri" w:hAnsi="Calibri" w:cs="Calibri"/>
                <w:sz w:val="18"/>
                <w:szCs w:val="18"/>
              </w:rPr>
              <w:t>Same as above</w:t>
            </w:r>
          </w:p>
        </w:tc>
      </w:tr>
      <w:tr w:rsidR="00442435" w:rsidRPr="00250244">
        <w:tblPrEx>
          <w:shd w:val="clear" w:color="auto" w:fill="CDD4E9"/>
        </w:tblPrEx>
        <w:trPr>
          <w:trHeight w:val="6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42435" w:rsidRPr="00250244" w:rsidRDefault="00442435" w:rsidP="00861634">
            <w:pPr>
              <w:pStyle w:val="Body"/>
              <w:rPr>
                <w:rStyle w:val="None"/>
                <w:rFonts w:ascii="Calibri" w:eastAsia="Calibri" w:hAnsi="Calibri" w:cs="Calibri"/>
                <w:color w:val="auto"/>
                <w:sz w:val="18"/>
                <w:szCs w:val="18"/>
              </w:rPr>
            </w:pPr>
            <w:r w:rsidRPr="00250244">
              <w:rPr>
                <w:rFonts w:ascii="Calibri" w:hAnsi="Calibri" w:cs="Calibri"/>
                <w:bCs/>
                <w:color w:val="auto"/>
                <w:sz w:val="18"/>
                <w:szCs w:val="18"/>
                <w:u w:color="2F5496"/>
              </w:rPr>
              <w:t>4.1.6. Organize a full day IAS side event in connection with the Fifteenth Meeting of the Conference of the Parties to the Convention on Biological Diversity (COP15)</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42435" w:rsidRPr="00250244" w:rsidRDefault="00250244" w:rsidP="00861634">
            <w:pPr>
              <w:pStyle w:val="Body"/>
              <w:rPr>
                <w:rStyle w:val="None"/>
                <w:rFonts w:ascii="Calibri" w:eastAsia="Calibri" w:hAnsi="Calibri" w:cs="Calibri"/>
                <w:color w:val="auto"/>
                <w:sz w:val="18"/>
                <w:szCs w:val="18"/>
              </w:rPr>
            </w:pPr>
            <w:r w:rsidRPr="00250244">
              <w:rPr>
                <w:rStyle w:val="None"/>
                <w:rFonts w:ascii="Calibri" w:eastAsia="Calibri" w:hAnsi="Calibri" w:cs="Calibri"/>
                <w:color w:val="auto"/>
                <w:sz w:val="18"/>
                <w:szCs w:val="18"/>
              </w:rPr>
              <w:t xml:space="preserve">PMO informs relevant parties that the project promotes gender equality and the mainstreaming of women and encourages that specific emphasis on women’s role in IAS Management, particularly through the implementation of on-the-ground activities is demonstrated at the side event and in the publications and other materials provided to the public at the side event etc. </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42435" w:rsidRPr="00250244" w:rsidRDefault="00250244" w:rsidP="00861634">
            <w:pPr>
              <w:rPr>
                <w:rFonts w:ascii="Calibri" w:hAnsi="Calibri" w:cs="Calibri"/>
                <w:sz w:val="18"/>
                <w:szCs w:val="18"/>
              </w:rPr>
            </w:pPr>
            <w:r w:rsidRPr="00250244">
              <w:rPr>
                <w:rFonts w:ascii="Calibri" w:hAnsi="Calibri" w:cs="Calibri"/>
                <w:sz w:val="18"/>
                <w:szCs w:val="18"/>
              </w:rPr>
              <w:t xml:space="preserve">Up to six months before the side event to enable entities and stakeholders to prepare for the side event as well as prepare for relevant awareness raising materials, including visual material </w:t>
            </w:r>
          </w:p>
        </w:tc>
      </w:tr>
      <w:tr w:rsidR="00442435" w:rsidRPr="00250244">
        <w:tblPrEx>
          <w:shd w:val="clear" w:color="auto" w:fill="CDD4E9"/>
        </w:tblPrEx>
        <w:trPr>
          <w:trHeight w:val="6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42435" w:rsidRPr="00250244" w:rsidRDefault="00442435" w:rsidP="00861634">
            <w:pPr>
              <w:pStyle w:val="Body"/>
              <w:rPr>
                <w:rStyle w:val="None"/>
                <w:rFonts w:ascii="Calibri" w:eastAsia="Calibri" w:hAnsi="Calibri" w:cs="Calibri"/>
                <w:color w:val="auto"/>
                <w:sz w:val="18"/>
                <w:szCs w:val="18"/>
              </w:rPr>
            </w:pPr>
            <w:r w:rsidRPr="00250244">
              <w:rPr>
                <w:rFonts w:ascii="Calibri" w:hAnsi="Calibri" w:cs="Calibri"/>
                <w:color w:val="auto"/>
                <w:sz w:val="18"/>
                <w:szCs w:val="18"/>
                <w:u w:color="2F5496"/>
              </w:rPr>
              <w:t>4.1.7 Best practice learning and knowledge sharing exchange missions.</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42435" w:rsidRPr="00250244" w:rsidRDefault="00250244" w:rsidP="00861634">
            <w:pPr>
              <w:pStyle w:val="Body"/>
              <w:rPr>
                <w:rStyle w:val="None"/>
                <w:rFonts w:ascii="Calibri" w:eastAsia="Calibri" w:hAnsi="Calibri" w:cs="Calibri"/>
                <w:color w:val="auto"/>
                <w:sz w:val="18"/>
                <w:szCs w:val="18"/>
              </w:rPr>
            </w:pPr>
            <w:r w:rsidRPr="00250244">
              <w:rPr>
                <w:rStyle w:val="None"/>
                <w:rFonts w:ascii="Calibri" w:eastAsia="Calibri" w:hAnsi="Calibri" w:cs="Calibri"/>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42435" w:rsidRPr="00250244" w:rsidRDefault="00442435" w:rsidP="00861634">
            <w:pPr>
              <w:rPr>
                <w:rFonts w:ascii="Calibri" w:hAnsi="Calibri" w:cs="Calibri"/>
                <w:sz w:val="18"/>
                <w:szCs w:val="18"/>
              </w:rPr>
            </w:pPr>
          </w:p>
        </w:tc>
      </w:tr>
      <w:tr w:rsidR="004B4F83" w:rsidRPr="00250244">
        <w:tblPrEx>
          <w:shd w:val="clear" w:color="auto" w:fill="CDD4E9"/>
        </w:tblPrEx>
        <w:trPr>
          <w:trHeight w:val="210"/>
        </w:trPr>
        <w:tc>
          <w:tcPr>
            <w:tcW w:w="2686"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4B4F83" w:rsidP="00861634">
            <w:pPr>
              <w:pStyle w:val="Body"/>
              <w:jc w:val="both"/>
              <w:rPr>
                <w:rFonts w:ascii="Calibri" w:hAnsi="Calibri" w:cs="Calibri"/>
                <w:color w:val="auto"/>
                <w:sz w:val="18"/>
                <w:szCs w:val="18"/>
              </w:rPr>
            </w:pPr>
            <w:r w:rsidRPr="00250244">
              <w:rPr>
                <w:rStyle w:val="None"/>
                <w:rFonts w:ascii="Calibri" w:eastAsia="Calibri" w:hAnsi="Calibri" w:cs="Calibri"/>
                <w:b/>
                <w:bCs/>
                <w:color w:val="auto"/>
                <w:sz w:val="18"/>
                <w:szCs w:val="18"/>
              </w:rPr>
              <w:t>Output 4.2</w:t>
            </w:r>
          </w:p>
        </w:tc>
        <w:tc>
          <w:tcPr>
            <w:tcW w:w="3558"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D75975" w:rsidP="00861634">
            <w:pPr>
              <w:rPr>
                <w:rFonts w:ascii="Calibri" w:hAnsi="Calibri" w:cs="Calibri"/>
                <w:sz w:val="18"/>
                <w:szCs w:val="18"/>
              </w:rPr>
            </w:pPr>
          </w:p>
        </w:tc>
        <w:tc>
          <w:tcPr>
            <w:tcW w:w="2766"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rsidTr="008B2ED3">
        <w:tblPrEx>
          <w:shd w:val="clear" w:color="auto" w:fill="CDD4E9"/>
        </w:tblPrEx>
        <w:trPr>
          <w:trHeight w:val="252"/>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4.2.1. Design the IAS Knowledge Management platform.</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42435" w:rsidRPr="00250244" w:rsidTr="008B2ED3">
        <w:tblPrEx>
          <w:shd w:val="clear" w:color="auto" w:fill="CDD4E9"/>
        </w:tblPrEx>
        <w:trPr>
          <w:trHeight w:val="279"/>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42435" w:rsidRPr="00250244" w:rsidRDefault="00442435" w:rsidP="00861634">
            <w:pPr>
              <w:pStyle w:val="Body"/>
              <w:rPr>
                <w:rStyle w:val="None"/>
                <w:rFonts w:ascii="Calibri" w:eastAsia="Calibri" w:hAnsi="Calibri" w:cs="Calibri"/>
                <w:color w:val="auto"/>
                <w:sz w:val="18"/>
                <w:szCs w:val="18"/>
              </w:rPr>
            </w:pPr>
            <w:r w:rsidRPr="00250244">
              <w:rPr>
                <w:rFonts w:ascii="Calibri" w:hAnsi="Calibri" w:cs="Calibri"/>
                <w:bCs/>
                <w:color w:val="auto"/>
                <w:sz w:val="18"/>
                <w:szCs w:val="18"/>
              </w:rPr>
              <w:t>4.2.2</w:t>
            </w:r>
            <w:r w:rsidRPr="00250244">
              <w:rPr>
                <w:rFonts w:ascii="Calibri" w:hAnsi="Calibri" w:cs="Calibri"/>
                <w:color w:val="auto"/>
                <w:sz w:val="18"/>
                <w:szCs w:val="18"/>
              </w:rPr>
              <w:t>. House and populate the IAS Knowledge Management Platform.</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42435" w:rsidRPr="00250244" w:rsidRDefault="00442435" w:rsidP="00861634">
            <w:pPr>
              <w:pStyle w:val="Body"/>
              <w:rPr>
                <w:rStyle w:val="None"/>
                <w:rFonts w:ascii="Calibri" w:eastAsia="Calibri" w:hAnsi="Calibri" w:cs="Calibri"/>
                <w:color w:val="auto"/>
                <w:sz w:val="18"/>
                <w:szCs w:val="18"/>
              </w:rPr>
            </w:pPr>
            <w:r w:rsidRPr="00250244">
              <w:rPr>
                <w:rStyle w:val="None"/>
                <w:rFonts w:ascii="Calibri" w:eastAsia="Calibri" w:hAnsi="Calibri" w:cs="Calibri"/>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42435" w:rsidRPr="00250244" w:rsidRDefault="00442435" w:rsidP="00861634">
            <w:pPr>
              <w:rPr>
                <w:rFonts w:ascii="Calibri" w:hAnsi="Calibri" w:cs="Calibri"/>
                <w:sz w:val="18"/>
                <w:szCs w:val="18"/>
              </w:rPr>
            </w:pPr>
          </w:p>
        </w:tc>
      </w:tr>
      <w:tr w:rsidR="004B4F83" w:rsidRPr="00250244" w:rsidTr="008B2ED3">
        <w:tblPrEx>
          <w:shd w:val="clear" w:color="auto" w:fill="CDD4E9"/>
        </w:tblPrEx>
        <w:trPr>
          <w:trHeight w:val="279"/>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42435" w:rsidP="00861634">
            <w:pPr>
              <w:pStyle w:val="Body"/>
              <w:rPr>
                <w:rFonts w:ascii="Calibri" w:hAnsi="Calibri" w:cs="Calibri"/>
                <w:color w:val="auto"/>
                <w:sz w:val="18"/>
                <w:szCs w:val="18"/>
              </w:rPr>
            </w:pPr>
            <w:r w:rsidRPr="00250244">
              <w:rPr>
                <w:rFonts w:ascii="Calibri" w:hAnsi="Calibri" w:cs="Calibri"/>
                <w:color w:val="auto"/>
                <w:sz w:val="18"/>
                <w:szCs w:val="18"/>
              </w:rPr>
              <w:t>4.2.3 Popularize the IAS Knowledge Management platform</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210"/>
        </w:trPr>
        <w:tc>
          <w:tcPr>
            <w:tcW w:w="2686"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4B4F83" w:rsidP="00861634">
            <w:pPr>
              <w:pStyle w:val="Body"/>
              <w:jc w:val="both"/>
              <w:rPr>
                <w:rFonts w:ascii="Calibri" w:hAnsi="Calibri" w:cs="Calibri"/>
                <w:color w:val="auto"/>
                <w:sz w:val="18"/>
                <w:szCs w:val="18"/>
              </w:rPr>
            </w:pPr>
            <w:r w:rsidRPr="00250244">
              <w:rPr>
                <w:rStyle w:val="None"/>
                <w:rFonts w:ascii="Calibri" w:eastAsia="Calibri" w:hAnsi="Calibri" w:cs="Calibri"/>
                <w:b/>
                <w:bCs/>
                <w:color w:val="auto"/>
                <w:sz w:val="18"/>
                <w:szCs w:val="18"/>
              </w:rPr>
              <w:t>Output 4.3</w:t>
            </w:r>
          </w:p>
        </w:tc>
        <w:tc>
          <w:tcPr>
            <w:tcW w:w="3558"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D75975" w:rsidP="00861634">
            <w:pPr>
              <w:rPr>
                <w:rFonts w:ascii="Calibri" w:hAnsi="Calibri" w:cs="Calibri"/>
                <w:sz w:val="18"/>
                <w:szCs w:val="18"/>
              </w:rPr>
            </w:pPr>
          </w:p>
        </w:tc>
        <w:tc>
          <w:tcPr>
            <w:tcW w:w="2766" w:type="dxa"/>
            <w:tcBorders>
              <w:top w:val="single" w:sz="4" w:space="0" w:color="000000"/>
              <w:left w:val="single" w:sz="4" w:space="0" w:color="000000"/>
              <w:bottom w:val="single" w:sz="4" w:space="0" w:color="000000"/>
              <w:right w:val="single" w:sz="4" w:space="0" w:color="000000"/>
            </w:tcBorders>
            <w:shd w:val="clear" w:color="auto" w:fill="D9E2F3"/>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8B2ED3" w:rsidRPr="00250244" w:rsidTr="008B2ED3">
        <w:tblPrEx>
          <w:shd w:val="clear" w:color="auto" w:fill="CDD4E9"/>
        </w:tblPrEx>
        <w:trPr>
          <w:trHeight w:val="792"/>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8B2ED3" w:rsidRPr="00250244" w:rsidRDefault="008B2ED3" w:rsidP="00861634">
            <w:pPr>
              <w:pStyle w:val="Body"/>
              <w:rPr>
                <w:rStyle w:val="None"/>
                <w:rFonts w:ascii="Calibri" w:eastAsia="Calibri" w:hAnsi="Calibri" w:cs="Calibri"/>
                <w:color w:val="auto"/>
                <w:sz w:val="18"/>
                <w:szCs w:val="18"/>
              </w:rPr>
            </w:pPr>
            <w:r w:rsidRPr="00250244">
              <w:rPr>
                <w:rFonts w:ascii="Calibri" w:hAnsi="Calibri" w:cs="Calibri"/>
                <w:bCs/>
                <w:sz w:val="18"/>
                <w:szCs w:val="18"/>
              </w:rPr>
              <w:t>4.3.1.  Support China’s advocating IAS Management (with Hainan as the main example) in international settings and meetings</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8B2ED3" w:rsidRPr="00250244" w:rsidRDefault="008B2ED3" w:rsidP="00861634">
            <w:pPr>
              <w:rPr>
                <w:rFonts w:ascii="Calibri" w:hAnsi="Calibri" w:cs="Calibri"/>
                <w:sz w:val="18"/>
                <w:szCs w:val="18"/>
              </w:rPr>
            </w:pPr>
            <w:r w:rsidRPr="00250244">
              <w:rPr>
                <w:rStyle w:val="None"/>
                <w:rFonts w:ascii="Calibri" w:eastAsia="Calibri" w:hAnsi="Calibri" w:cs="Calibri"/>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8B2ED3" w:rsidRPr="00250244" w:rsidRDefault="008B2ED3" w:rsidP="00861634">
            <w:pPr>
              <w:pStyle w:val="Body"/>
              <w:rPr>
                <w:rStyle w:val="None"/>
                <w:rFonts w:ascii="Calibri" w:eastAsia="Calibri" w:hAnsi="Calibri" w:cs="Calibri"/>
                <w:color w:val="auto"/>
                <w:sz w:val="18"/>
                <w:szCs w:val="18"/>
              </w:rPr>
            </w:pPr>
          </w:p>
        </w:tc>
      </w:tr>
      <w:tr w:rsidR="008B2ED3" w:rsidRPr="00250244" w:rsidTr="008B2ED3">
        <w:tblPrEx>
          <w:shd w:val="clear" w:color="auto" w:fill="CDD4E9"/>
        </w:tblPrEx>
        <w:trPr>
          <w:trHeight w:val="603"/>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8B2ED3" w:rsidRPr="00250244" w:rsidRDefault="008B2ED3" w:rsidP="00861634">
            <w:pPr>
              <w:pStyle w:val="Body"/>
              <w:rPr>
                <w:rStyle w:val="None"/>
                <w:rFonts w:ascii="Calibri" w:eastAsia="Calibri" w:hAnsi="Calibri" w:cs="Calibri"/>
                <w:color w:val="auto"/>
                <w:sz w:val="18"/>
                <w:szCs w:val="18"/>
              </w:rPr>
            </w:pPr>
            <w:r w:rsidRPr="00250244">
              <w:rPr>
                <w:rFonts w:ascii="Calibri" w:hAnsi="Calibri" w:cs="Calibri"/>
                <w:bCs/>
                <w:sz w:val="18"/>
                <w:szCs w:val="18"/>
              </w:rPr>
              <w:t>4.3.2. Support China’s bilateral IAS partnership agreements on IAS Management activities and training programs,</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8B2ED3" w:rsidRPr="00250244" w:rsidRDefault="008B2ED3" w:rsidP="00861634">
            <w:pPr>
              <w:rPr>
                <w:rFonts w:ascii="Calibri" w:hAnsi="Calibri" w:cs="Calibri"/>
                <w:sz w:val="18"/>
                <w:szCs w:val="18"/>
              </w:rPr>
            </w:pPr>
            <w:r w:rsidRPr="00250244">
              <w:rPr>
                <w:rStyle w:val="None"/>
                <w:rFonts w:ascii="Calibri" w:eastAsia="Calibri" w:hAnsi="Calibri" w:cs="Calibri"/>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8B2ED3" w:rsidRPr="00250244" w:rsidRDefault="008B2ED3" w:rsidP="00861634">
            <w:pPr>
              <w:pStyle w:val="Body"/>
              <w:rPr>
                <w:rStyle w:val="None"/>
                <w:rFonts w:ascii="Calibri" w:eastAsia="Calibri" w:hAnsi="Calibri" w:cs="Calibri"/>
                <w:color w:val="auto"/>
                <w:sz w:val="18"/>
                <w:szCs w:val="18"/>
              </w:rPr>
            </w:pPr>
          </w:p>
        </w:tc>
      </w:tr>
      <w:tr w:rsidR="008B2ED3" w:rsidRPr="00250244" w:rsidTr="008B2ED3">
        <w:tblPrEx>
          <w:shd w:val="clear" w:color="auto" w:fill="CDD4E9"/>
        </w:tblPrEx>
        <w:trPr>
          <w:trHeight w:val="27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8B2ED3" w:rsidRPr="00250244" w:rsidRDefault="008B2ED3" w:rsidP="00861634">
            <w:pPr>
              <w:pStyle w:val="Body"/>
              <w:rPr>
                <w:rStyle w:val="None"/>
                <w:rFonts w:ascii="Calibri" w:eastAsia="Calibri" w:hAnsi="Calibri" w:cs="Calibri"/>
                <w:color w:val="auto"/>
                <w:sz w:val="18"/>
                <w:szCs w:val="18"/>
              </w:rPr>
            </w:pPr>
            <w:r w:rsidRPr="00250244">
              <w:rPr>
                <w:rFonts w:ascii="Calibri" w:hAnsi="Calibri" w:cs="Calibri"/>
                <w:bCs/>
                <w:sz w:val="18"/>
                <w:szCs w:val="18"/>
              </w:rPr>
              <w:t>4.3.3. Organize a full day IAS side event at the Fifteenth Meeting of the Conference of the Parties to the Convention on Biological Diversity (COP15)</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8B2ED3" w:rsidRPr="00250244" w:rsidRDefault="008B2ED3" w:rsidP="00861634">
            <w:pPr>
              <w:rPr>
                <w:rFonts w:ascii="Calibri" w:hAnsi="Calibri" w:cs="Calibri"/>
                <w:sz w:val="18"/>
                <w:szCs w:val="18"/>
              </w:rPr>
            </w:pPr>
            <w:r w:rsidRPr="00250244">
              <w:rPr>
                <w:rStyle w:val="None"/>
                <w:rFonts w:ascii="Calibri" w:eastAsia="Calibri" w:hAnsi="Calibri" w:cs="Calibri"/>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8B2ED3" w:rsidRPr="00250244" w:rsidRDefault="008B2ED3" w:rsidP="00861634">
            <w:pPr>
              <w:pStyle w:val="Body"/>
              <w:rPr>
                <w:rStyle w:val="None"/>
                <w:rFonts w:ascii="Calibri" w:eastAsia="Calibri" w:hAnsi="Calibri" w:cs="Calibri"/>
                <w:color w:val="auto"/>
                <w:sz w:val="18"/>
                <w:szCs w:val="18"/>
              </w:rPr>
            </w:pPr>
          </w:p>
        </w:tc>
      </w:tr>
      <w:tr w:rsidR="008B2ED3" w:rsidRPr="00250244" w:rsidTr="008B2ED3">
        <w:tblPrEx>
          <w:shd w:val="clear" w:color="auto" w:fill="CDD4E9"/>
        </w:tblPrEx>
        <w:trPr>
          <w:trHeight w:val="180"/>
        </w:trPr>
        <w:tc>
          <w:tcPr>
            <w:tcW w:w="2686"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80" w:type="dxa"/>
              <w:left w:w="80" w:type="dxa"/>
              <w:bottom w:w="80" w:type="dxa"/>
              <w:right w:w="80" w:type="dxa"/>
            </w:tcMar>
          </w:tcPr>
          <w:p w:rsidR="008B2ED3" w:rsidRPr="00250244" w:rsidRDefault="008B2ED3" w:rsidP="00861634">
            <w:pPr>
              <w:pStyle w:val="Body"/>
              <w:rPr>
                <w:rStyle w:val="None"/>
                <w:rFonts w:ascii="Calibri" w:eastAsia="Calibri" w:hAnsi="Calibri" w:cs="Calibri"/>
                <w:color w:val="auto"/>
                <w:sz w:val="18"/>
                <w:szCs w:val="18"/>
              </w:rPr>
            </w:pPr>
            <w:r w:rsidRPr="00250244">
              <w:rPr>
                <w:rStyle w:val="None"/>
                <w:rFonts w:ascii="Calibri" w:eastAsia="Calibri" w:hAnsi="Calibri" w:cs="Calibri"/>
                <w:b/>
                <w:bCs/>
                <w:color w:val="auto"/>
                <w:sz w:val="18"/>
                <w:szCs w:val="18"/>
              </w:rPr>
              <w:t>Output 4.4</w:t>
            </w:r>
          </w:p>
        </w:tc>
        <w:tc>
          <w:tcPr>
            <w:tcW w:w="3558"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80" w:type="dxa"/>
              <w:left w:w="80" w:type="dxa"/>
              <w:bottom w:w="80" w:type="dxa"/>
              <w:right w:w="80" w:type="dxa"/>
            </w:tcMar>
          </w:tcPr>
          <w:p w:rsidR="008B2ED3" w:rsidRPr="00250244" w:rsidRDefault="008B2ED3" w:rsidP="00861634">
            <w:pPr>
              <w:pStyle w:val="Body"/>
              <w:rPr>
                <w:rStyle w:val="None"/>
                <w:rFonts w:ascii="Calibri" w:eastAsia="Calibri" w:hAnsi="Calibri" w:cs="Calibri"/>
                <w:color w:val="auto"/>
                <w:sz w:val="18"/>
                <w:szCs w:val="18"/>
              </w:rPr>
            </w:pPr>
          </w:p>
        </w:tc>
        <w:tc>
          <w:tcPr>
            <w:tcW w:w="2766"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80" w:type="dxa"/>
              <w:left w:w="80" w:type="dxa"/>
              <w:bottom w:w="80" w:type="dxa"/>
              <w:right w:w="80" w:type="dxa"/>
            </w:tcMar>
          </w:tcPr>
          <w:p w:rsidR="008B2ED3" w:rsidRPr="00250244" w:rsidRDefault="008B2ED3" w:rsidP="00861634">
            <w:pPr>
              <w:pStyle w:val="Body"/>
              <w:rPr>
                <w:rStyle w:val="None"/>
                <w:rFonts w:ascii="Calibri" w:eastAsia="Calibri" w:hAnsi="Calibri" w:cs="Calibri"/>
                <w:color w:val="auto"/>
                <w:sz w:val="18"/>
                <w:szCs w:val="18"/>
              </w:rPr>
            </w:pPr>
          </w:p>
        </w:tc>
      </w:tr>
      <w:tr w:rsidR="004B4F83" w:rsidRPr="00250244">
        <w:tblPrEx>
          <w:shd w:val="clear" w:color="auto" w:fill="CDD4E9"/>
        </w:tblPrEx>
        <w:trPr>
          <w:trHeight w:val="1210"/>
        </w:trPr>
        <w:tc>
          <w:tcPr>
            <w:tcW w:w="2686"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4.4.</w:t>
            </w:r>
            <w:r w:rsidR="00442435" w:rsidRPr="00250244">
              <w:rPr>
                <w:rStyle w:val="None"/>
                <w:rFonts w:ascii="Calibri" w:eastAsia="Calibri" w:hAnsi="Calibri" w:cs="Calibri"/>
                <w:color w:val="auto"/>
                <w:sz w:val="18"/>
                <w:szCs w:val="18"/>
              </w:rPr>
              <w:t>1</w:t>
            </w:r>
            <w:r w:rsidRPr="00250244">
              <w:rPr>
                <w:rStyle w:val="None"/>
                <w:rFonts w:ascii="Calibri" w:eastAsia="Calibri" w:hAnsi="Calibri" w:cs="Calibri"/>
                <w:color w:val="auto"/>
                <w:sz w:val="18"/>
                <w:szCs w:val="18"/>
              </w:rPr>
              <w:t xml:space="preserve">. Hold program inception workshops, </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PMO will notify stakeholders and project partners that the project promotes gender equality and the mainstreaming of women and encourages the selection of women to participate in the program inception workshops.</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Within three months of project start.</w:t>
            </w:r>
          </w:p>
        </w:tc>
      </w:tr>
      <w:tr w:rsidR="004B4F83" w:rsidRPr="00250244">
        <w:tblPrEx>
          <w:shd w:val="clear" w:color="auto" w:fill="CDD4E9"/>
        </w:tblPrEx>
        <w:trPr>
          <w:trHeight w:val="410"/>
        </w:trPr>
        <w:tc>
          <w:tcPr>
            <w:tcW w:w="2686" w:type="dxa"/>
            <w:vMerge/>
            <w:tcBorders>
              <w:top w:val="single" w:sz="4" w:space="0" w:color="000000"/>
              <w:left w:val="single" w:sz="4" w:space="0" w:color="000000"/>
              <w:bottom w:val="single" w:sz="4" w:space="0" w:color="000000"/>
              <w:right w:val="single" w:sz="4" w:space="0" w:color="000000"/>
            </w:tcBorders>
            <w:shd w:val="clear" w:color="auto" w:fill="auto"/>
          </w:tcPr>
          <w:p w:rsidR="00D75975" w:rsidRPr="00250244" w:rsidRDefault="00D75975" w:rsidP="00861634">
            <w:pPr>
              <w:rPr>
                <w:rFonts w:ascii="Calibri" w:hAnsi="Calibri" w:cs="Calibri"/>
                <w:sz w:val="18"/>
                <w:szCs w:val="18"/>
              </w:rPr>
            </w:pP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PMO collects gender disaggregated data on the program inception workshops.</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In connection with the program inception workshops.</w:t>
            </w:r>
          </w:p>
        </w:tc>
      </w:tr>
      <w:tr w:rsidR="004B4F83" w:rsidRPr="00250244">
        <w:tblPrEx>
          <w:shd w:val="clear" w:color="auto" w:fill="CDD4E9"/>
        </w:tblPrEx>
        <w:trPr>
          <w:trHeight w:val="1210"/>
        </w:trPr>
        <w:tc>
          <w:tcPr>
            <w:tcW w:w="2686"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4.4.</w:t>
            </w:r>
            <w:r w:rsidR="00442435" w:rsidRPr="00250244">
              <w:rPr>
                <w:rStyle w:val="None"/>
                <w:rFonts w:ascii="Calibri" w:eastAsia="Calibri" w:hAnsi="Calibri" w:cs="Calibri"/>
                <w:color w:val="auto"/>
                <w:sz w:val="18"/>
                <w:szCs w:val="18"/>
              </w:rPr>
              <w:t>2</w:t>
            </w:r>
            <w:r w:rsidRPr="00250244">
              <w:rPr>
                <w:rStyle w:val="None"/>
                <w:rFonts w:ascii="Calibri" w:eastAsia="Calibri" w:hAnsi="Calibri" w:cs="Calibri"/>
                <w:color w:val="auto"/>
                <w:sz w:val="18"/>
                <w:szCs w:val="18"/>
              </w:rPr>
              <w:t xml:space="preserve">. Hold project inception workshops, </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PMO will notify stakeholders and project partners that the project promotes gender equality and the mainstreaming of women and encourages the selection of women to participate in the project inception workshops.</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Within three months of project start.</w:t>
            </w:r>
          </w:p>
        </w:tc>
      </w:tr>
      <w:tr w:rsidR="004B4F83" w:rsidRPr="00250244">
        <w:tblPrEx>
          <w:shd w:val="clear" w:color="auto" w:fill="CDD4E9"/>
        </w:tblPrEx>
        <w:trPr>
          <w:trHeight w:val="410"/>
        </w:trPr>
        <w:tc>
          <w:tcPr>
            <w:tcW w:w="2686" w:type="dxa"/>
            <w:vMerge/>
            <w:tcBorders>
              <w:top w:val="single" w:sz="4" w:space="0" w:color="000000"/>
              <w:left w:val="single" w:sz="4" w:space="0" w:color="000000"/>
              <w:bottom w:val="single" w:sz="4" w:space="0" w:color="000000"/>
              <w:right w:val="single" w:sz="4" w:space="0" w:color="000000"/>
            </w:tcBorders>
            <w:shd w:val="clear" w:color="auto" w:fill="auto"/>
          </w:tcPr>
          <w:p w:rsidR="00D75975" w:rsidRPr="00250244" w:rsidRDefault="00D75975" w:rsidP="00861634">
            <w:pPr>
              <w:rPr>
                <w:rFonts w:ascii="Calibri" w:hAnsi="Calibri" w:cs="Calibri"/>
                <w:sz w:val="18"/>
                <w:szCs w:val="18"/>
              </w:rPr>
            </w:pP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PMO collects gender disaggregated data on the project inception workshops.</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In connection with the project inception workshops.</w:t>
            </w:r>
          </w:p>
        </w:tc>
      </w:tr>
      <w:tr w:rsidR="004B4F83" w:rsidRPr="00250244">
        <w:tblPrEx>
          <w:shd w:val="clear" w:color="auto" w:fill="CDD4E9"/>
        </w:tblPrEx>
        <w:trPr>
          <w:trHeight w:val="10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250244" w:rsidP="00861634">
            <w:pPr>
              <w:pStyle w:val="Body"/>
              <w:rPr>
                <w:rFonts w:ascii="Calibri" w:hAnsi="Calibri" w:cs="Calibri"/>
                <w:color w:val="auto"/>
                <w:sz w:val="18"/>
                <w:szCs w:val="18"/>
              </w:rPr>
            </w:pPr>
            <w:r w:rsidRPr="00250244">
              <w:rPr>
                <w:rFonts w:ascii="Calibri" w:eastAsia="Calibri" w:hAnsi="Calibri" w:cs="Calibri"/>
                <w:color w:val="auto"/>
                <w:sz w:val="18"/>
                <w:szCs w:val="18"/>
                <w:u w:color="2F5496"/>
              </w:rPr>
              <w:t>4.4.3. Prepare C-SAP Program annual reports and other relevant project/program reporting,</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PMO and the Gender Specialist prepare specific subsections on the projects results in mainstreaming women into the project activities as part of the PIR and Annual reporting etc.</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Annually</w:t>
            </w:r>
          </w:p>
        </w:tc>
      </w:tr>
      <w:tr w:rsidR="004B4F83" w:rsidRPr="00250244">
        <w:tblPrEx>
          <w:shd w:val="clear" w:color="auto" w:fill="CDD4E9"/>
        </w:tblPrEx>
        <w:trPr>
          <w:trHeight w:val="8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4.4.</w:t>
            </w:r>
            <w:r w:rsidR="00250244" w:rsidRPr="00250244">
              <w:rPr>
                <w:rStyle w:val="None"/>
                <w:rFonts w:ascii="Calibri" w:eastAsia="Calibri" w:hAnsi="Calibri" w:cs="Calibri"/>
                <w:color w:val="auto"/>
                <w:sz w:val="18"/>
                <w:szCs w:val="18"/>
              </w:rPr>
              <w:t>4</w:t>
            </w:r>
            <w:r w:rsidRPr="00250244">
              <w:rPr>
                <w:rStyle w:val="None"/>
                <w:rFonts w:ascii="Calibri" w:eastAsia="Calibri" w:hAnsi="Calibri" w:cs="Calibri"/>
                <w:color w:val="auto"/>
                <w:sz w:val="18"/>
                <w:szCs w:val="18"/>
              </w:rPr>
              <w:t xml:space="preserve"> Prepare C-SAP 2 IAS project annual reports, PIR and other relevant project/program reporting, </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No specific actions intended</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D75975" w:rsidP="00861634">
            <w:pPr>
              <w:rPr>
                <w:rFonts w:ascii="Calibri" w:hAnsi="Calibri" w:cs="Calibri"/>
                <w:sz w:val="18"/>
                <w:szCs w:val="18"/>
              </w:rPr>
            </w:pPr>
          </w:p>
        </w:tc>
      </w:tr>
      <w:tr w:rsidR="004B4F83" w:rsidRPr="00250244">
        <w:tblPrEx>
          <w:shd w:val="clear" w:color="auto" w:fill="CDD4E9"/>
        </w:tblPrEx>
        <w:trPr>
          <w:trHeight w:val="12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250244" w:rsidP="00861634">
            <w:pPr>
              <w:pStyle w:val="Body"/>
              <w:rPr>
                <w:rFonts w:ascii="Calibri" w:hAnsi="Calibri" w:cs="Calibri"/>
                <w:color w:val="auto"/>
                <w:sz w:val="18"/>
                <w:szCs w:val="18"/>
              </w:rPr>
            </w:pPr>
            <w:r w:rsidRPr="00250244">
              <w:rPr>
                <w:rFonts w:ascii="Calibri" w:eastAsia="Calibri" w:hAnsi="Calibri" w:cs="Calibri"/>
                <w:color w:val="auto"/>
                <w:sz w:val="18"/>
                <w:szCs w:val="18"/>
                <w:u w:color="2F5496"/>
              </w:rPr>
              <w:t xml:space="preserve">4.4.5. </w:t>
            </w:r>
            <w:r w:rsidRPr="00250244">
              <w:rPr>
                <w:rFonts w:ascii="Calibri" w:hAnsi="Calibri" w:cs="Calibri"/>
                <w:sz w:val="18"/>
                <w:szCs w:val="18"/>
              </w:rPr>
              <w:t>Procure and support an independent midterm review of the project and program,</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For the selection of consultants to the mid-term review and terminal evaluation a gender-neutral hiring process will be ensured and in the job postings it will be specified that women are encouraged to apply.</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During the project third and fifth year</w:t>
            </w:r>
          </w:p>
        </w:tc>
      </w:tr>
      <w:tr w:rsidR="004B4F83" w:rsidRPr="00250244">
        <w:tblPrEx>
          <w:shd w:val="clear" w:color="auto" w:fill="CDD4E9"/>
        </w:tblPrEx>
        <w:trPr>
          <w:trHeight w:val="12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250244" w:rsidP="00861634">
            <w:pPr>
              <w:pStyle w:val="Body"/>
              <w:rPr>
                <w:rFonts w:ascii="Calibri" w:hAnsi="Calibri" w:cs="Calibri"/>
                <w:color w:val="auto"/>
                <w:sz w:val="18"/>
                <w:szCs w:val="18"/>
              </w:rPr>
            </w:pPr>
            <w:r w:rsidRPr="00250244">
              <w:rPr>
                <w:rFonts w:ascii="Calibri" w:eastAsia="Calibri" w:hAnsi="Calibri" w:cs="Calibri"/>
                <w:color w:val="auto"/>
                <w:sz w:val="18"/>
                <w:szCs w:val="18"/>
                <w:u w:color="2F5496"/>
              </w:rPr>
              <w:t xml:space="preserve">4.4.6. </w:t>
            </w:r>
            <w:r w:rsidRPr="00250244">
              <w:rPr>
                <w:rFonts w:ascii="Calibri" w:hAnsi="Calibri" w:cs="Calibri"/>
                <w:sz w:val="18"/>
                <w:szCs w:val="18"/>
              </w:rPr>
              <w:t>Procure and support an independent terminal evaluation of the project and program,</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For the selection of consultants to the mid-term review and terminal evaluation a gender-neutral hiring process will be ensured and in the job postings it will be specified that women are encouraged to apply.</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During the project third and fifth year</w:t>
            </w:r>
          </w:p>
        </w:tc>
      </w:tr>
      <w:tr w:rsidR="004B4F83" w:rsidRPr="00250244">
        <w:tblPrEx>
          <w:shd w:val="clear" w:color="auto" w:fill="CDD4E9"/>
        </w:tblPrEx>
        <w:trPr>
          <w:trHeight w:val="1010"/>
        </w:trPr>
        <w:tc>
          <w:tcPr>
            <w:tcW w:w="2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4.4.</w:t>
            </w:r>
            <w:r w:rsidR="00250244" w:rsidRPr="00250244">
              <w:rPr>
                <w:rStyle w:val="None"/>
                <w:rFonts w:ascii="Calibri" w:eastAsia="Calibri" w:hAnsi="Calibri" w:cs="Calibri"/>
                <w:color w:val="auto"/>
                <w:sz w:val="18"/>
                <w:szCs w:val="18"/>
              </w:rPr>
              <w:t>7</w:t>
            </w:r>
            <w:r w:rsidRPr="00250244">
              <w:rPr>
                <w:rStyle w:val="None"/>
                <w:rFonts w:ascii="Calibri" w:eastAsia="Calibri" w:hAnsi="Calibri" w:cs="Calibri"/>
                <w:color w:val="auto"/>
                <w:sz w:val="18"/>
                <w:szCs w:val="18"/>
              </w:rPr>
              <w:t xml:space="preserve">. Monitor and report on the implementation of the C-SAP 2 IAS project’s gender mainstreaming action plan </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The PMO and the project’s Gender Specialist will collect, review and prepare a separate report on the project’s engagement in mainstreaming women into the project activities.</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75975" w:rsidRPr="00250244" w:rsidRDefault="004B4F83"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Starting from year one, in connection with the PMOs preparation of the annual report and the GEF PIR.</w:t>
            </w:r>
          </w:p>
        </w:tc>
      </w:tr>
      <w:tr w:rsidR="00250244" w:rsidRPr="00250244" w:rsidTr="00845466">
        <w:tblPrEx>
          <w:shd w:val="clear" w:color="auto" w:fill="CDD4E9"/>
        </w:tblPrEx>
        <w:trPr>
          <w:trHeight w:val="1210"/>
        </w:trPr>
        <w:tc>
          <w:tcPr>
            <w:tcW w:w="2686"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rsidR="00250244" w:rsidRPr="00250244" w:rsidRDefault="00250244"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 xml:space="preserve">4.4.8. Hold C-SAP 2 IAS project Steering Committee meetings annually </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50244" w:rsidRPr="00250244" w:rsidRDefault="00250244"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PMO will notify stakeholders and project partners that the project promotes gender equality and the mainstreaming of women and encourages the selection of women to participate in the project Steering Committee meetings.</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50244" w:rsidRPr="00250244" w:rsidRDefault="00250244"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 xml:space="preserve">Annually </w:t>
            </w:r>
          </w:p>
        </w:tc>
      </w:tr>
      <w:tr w:rsidR="00250244" w:rsidRPr="00250244" w:rsidTr="00845466">
        <w:tblPrEx>
          <w:shd w:val="clear" w:color="auto" w:fill="CDD4E9"/>
        </w:tblPrEx>
        <w:trPr>
          <w:trHeight w:val="297"/>
        </w:trPr>
        <w:tc>
          <w:tcPr>
            <w:tcW w:w="2686"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50244" w:rsidRPr="00250244" w:rsidRDefault="00250244" w:rsidP="00861634">
            <w:pPr>
              <w:rPr>
                <w:rFonts w:ascii="Calibri" w:hAnsi="Calibri" w:cs="Calibri"/>
                <w:sz w:val="18"/>
                <w:szCs w:val="18"/>
              </w:rPr>
            </w:pP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50244" w:rsidRPr="00250244" w:rsidRDefault="00250244"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PMO collects gender disaggregated data on the project Steering Committee meetings.</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50244" w:rsidRPr="00250244" w:rsidRDefault="00250244"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In connection with the project Steering Committee meetings.</w:t>
            </w:r>
          </w:p>
        </w:tc>
      </w:tr>
      <w:tr w:rsidR="00250244" w:rsidRPr="00250244" w:rsidTr="00EE602F">
        <w:tblPrEx>
          <w:shd w:val="clear" w:color="auto" w:fill="CDD4E9"/>
        </w:tblPrEx>
        <w:trPr>
          <w:trHeight w:val="1210"/>
        </w:trPr>
        <w:tc>
          <w:tcPr>
            <w:tcW w:w="2686"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rsidR="00250244" w:rsidRPr="00250244" w:rsidRDefault="00250244"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 xml:space="preserve">4.4.9. Organize annual C-SAP program steering committee meetings and host one of them </w:t>
            </w: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50244" w:rsidRPr="00250244" w:rsidRDefault="00250244"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PMO will notify stakeholders and project partners that the project promotes gender equality and the mainstreaming of women and encourages the selection of women to participate in the program Steering Committee meetings.</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50244" w:rsidRPr="00250244" w:rsidRDefault="00250244"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 xml:space="preserve">Annually </w:t>
            </w:r>
          </w:p>
        </w:tc>
      </w:tr>
      <w:tr w:rsidR="00250244" w:rsidRPr="00250244" w:rsidTr="00EE602F">
        <w:tblPrEx>
          <w:shd w:val="clear" w:color="auto" w:fill="CDD4E9"/>
        </w:tblPrEx>
        <w:trPr>
          <w:trHeight w:val="610"/>
        </w:trPr>
        <w:tc>
          <w:tcPr>
            <w:tcW w:w="2686"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50244" w:rsidRPr="00250244" w:rsidRDefault="00250244" w:rsidP="00861634">
            <w:pPr>
              <w:rPr>
                <w:rFonts w:ascii="Calibri" w:hAnsi="Calibri" w:cs="Calibri"/>
                <w:sz w:val="18"/>
                <w:szCs w:val="18"/>
              </w:rPr>
            </w:pPr>
          </w:p>
        </w:tc>
        <w:tc>
          <w:tcPr>
            <w:tcW w:w="35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50244" w:rsidRPr="00250244" w:rsidRDefault="00250244"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PMO collects gender disaggregated data on the program Steering Committee meetings.</w:t>
            </w:r>
          </w:p>
        </w:tc>
        <w:tc>
          <w:tcPr>
            <w:tcW w:w="2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50244" w:rsidRPr="00250244" w:rsidRDefault="00250244" w:rsidP="00861634">
            <w:pPr>
              <w:pStyle w:val="Body"/>
              <w:rPr>
                <w:rFonts w:ascii="Calibri" w:hAnsi="Calibri" w:cs="Calibri"/>
                <w:color w:val="auto"/>
                <w:sz w:val="18"/>
                <w:szCs w:val="18"/>
              </w:rPr>
            </w:pPr>
            <w:r w:rsidRPr="00250244">
              <w:rPr>
                <w:rStyle w:val="None"/>
                <w:rFonts w:ascii="Calibri" w:eastAsia="Calibri" w:hAnsi="Calibri" w:cs="Calibri"/>
                <w:color w:val="auto"/>
                <w:sz w:val="18"/>
                <w:szCs w:val="18"/>
              </w:rPr>
              <w:t>In connection with the program Steering Committee meetings.</w:t>
            </w:r>
          </w:p>
        </w:tc>
      </w:tr>
    </w:tbl>
    <w:p w:rsidR="00D75975" w:rsidRPr="00861634" w:rsidRDefault="00D75975" w:rsidP="00861634">
      <w:pPr>
        <w:pStyle w:val="Body"/>
        <w:widowControl w:val="0"/>
        <w:spacing w:after="120"/>
        <w:rPr>
          <w:rStyle w:val="None"/>
          <w:rFonts w:ascii="Calibri" w:eastAsia="Calibri" w:hAnsi="Calibri" w:cs="Calibri"/>
          <w:b/>
          <w:bCs/>
          <w:color w:val="auto"/>
          <w:sz w:val="20"/>
          <w:szCs w:val="20"/>
        </w:rPr>
      </w:pPr>
    </w:p>
    <w:p w:rsidR="00D75975" w:rsidRPr="00861634" w:rsidRDefault="00D75975" w:rsidP="00861634">
      <w:pPr>
        <w:pStyle w:val="Body"/>
        <w:spacing w:after="120"/>
        <w:rPr>
          <w:rFonts w:ascii="Calibri" w:eastAsia="Calibri" w:hAnsi="Calibri" w:cs="Calibri"/>
          <w:color w:val="auto"/>
          <w:sz w:val="20"/>
          <w:szCs w:val="20"/>
        </w:rPr>
      </w:pPr>
    </w:p>
    <w:p w:rsidR="00D75975" w:rsidRPr="00861634" w:rsidRDefault="00D75975" w:rsidP="00861634">
      <w:pPr>
        <w:pStyle w:val="Body"/>
        <w:spacing w:after="120"/>
        <w:rPr>
          <w:rFonts w:ascii="Calibri" w:eastAsia="Calibri" w:hAnsi="Calibri" w:cs="Calibri"/>
          <w:color w:val="auto"/>
          <w:sz w:val="20"/>
          <w:szCs w:val="20"/>
        </w:rPr>
      </w:pPr>
    </w:p>
    <w:p w:rsidR="00D75975" w:rsidRPr="00861634" w:rsidRDefault="00D75975" w:rsidP="00861634">
      <w:pPr>
        <w:pStyle w:val="Body"/>
        <w:widowControl w:val="0"/>
        <w:spacing w:after="120"/>
        <w:jc w:val="both"/>
        <w:rPr>
          <w:rFonts w:ascii="Calibri" w:eastAsia="Calibri" w:hAnsi="Calibri" w:cs="Calibri"/>
          <w:color w:val="auto"/>
          <w:sz w:val="20"/>
          <w:szCs w:val="20"/>
        </w:rPr>
      </w:pPr>
    </w:p>
    <w:p w:rsidR="00D75975" w:rsidRPr="00861634" w:rsidRDefault="00D75975" w:rsidP="00861634">
      <w:pPr>
        <w:pStyle w:val="Body"/>
        <w:spacing w:after="120"/>
        <w:rPr>
          <w:rFonts w:ascii="Calibri" w:hAnsi="Calibri" w:cs="Calibri"/>
          <w:color w:val="auto"/>
          <w:sz w:val="20"/>
          <w:szCs w:val="20"/>
        </w:rPr>
      </w:pPr>
    </w:p>
    <w:sectPr w:rsidR="00D75975" w:rsidRPr="00861634">
      <w:headerReference w:type="default" r:id="rId17"/>
      <w:footerReference w:type="default" r:id="rId18"/>
      <w:pgSz w:w="11900" w:h="16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94FEE" w:rsidRDefault="00C94FEE">
      <w:r>
        <w:separator/>
      </w:r>
    </w:p>
  </w:endnote>
  <w:endnote w:type="continuationSeparator" w:id="0">
    <w:p w:rsidR="00C94FEE" w:rsidRDefault="00C94F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2435" w:rsidRDefault="00442435">
    <w:pPr>
      <w:pStyle w:val="Footer"/>
      <w:tabs>
        <w:tab w:val="clear" w:pos="9026"/>
        <w:tab w:val="right" w:pos="9000"/>
      </w:tabs>
      <w:jc w:val="right"/>
    </w:pPr>
    <w:r>
      <w:fldChar w:fldCharType="begin"/>
    </w:r>
    <w:r>
      <w:instrText xml:space="preserve"> PAGE </w:instrText>
    </w:r>
    <w:r>
      <w:fldChar w:fldCharType="separate"/>
    </w:r>
    <w:r>
      <w:t>21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94FEE" w:rsidRDefault="00C94FEE">
      <w:r>
        <w:separator/>
      </w:r>
    </w:p>
  </w:footnote>
  <w:footnote w:type="continuationSeparator" w:id="0">
    <w:p w:rsidR="00C94FEE" w:rsidRDefault="00C94FEE">
      <w:r>
        <w:continuationSeparator/>
      </w:r>
    </w:p>
  </w:footnote>
  <w:footnote w:type="continuationNotice" w:id="1">
    <w:p w:rsidR="00C94FEE" w:rsidRDefault="00C94FEE"/>
  </w:footnote>
  <w:footnote w:id="2">
    <w:p w:rsidR="00442435" w:rsidRDefault="00442435">
      <w:pPr>
        <w:pStyle w:val="BodyA"/>
      </w:pPr>
      <w:r>
        <w:rPr>
          <w:vertAlign w:val="superscript"/>
        </w:rPr>
        <w:footnoteRef/>
      </w:r>
      <w:r>
        <w:t xml:space="preserve"> </w:t>
      </w:r>
      <w:r>
        <w:rPr>
          <w:i/>
          <w:iCs/>
          <w:kern w:val="36"/>
          <w:sz w:val="16"/>
          <w:szCs w:val="16"/>
        </w:rPr>
        <w:t xml:space="preserve">China National Program for Women's Development (2011-2020) </w:t>
      </w:r>
      <w:hyperlink r:id="rId1" w:history="1">
        <w:r>
          <w:rPr>
            <w:rStyle w:val="Hyperlink0"/>
          </w:rPr>
          <w:t>http://m.womenofchina.cn/womenofchina/xhtml1/source/1502/998-1.htm</w:t>
        </w:r>
      </w:hyperlink>
    </w:p>
  </w:footnote>
  <w:footnote w:id="3">
    <w:p w:rsidR="00442435" w:rsidRDefault="00442435">
      <w:pPr>
        <w:pStyle w:val="BodyA"/>
      </w:pPr>
      <w:r>
        <w:rPr>
          <w:rStyle w:val="None"/>
          <w:vertAlign w:val="superscript"/>
        </w:rPr>
        <w:footnoteRef/>
      </w:r>
      <w:r>
        <w:t xml:space="preserve"> </w:t>
      </w:r>
      <w:r>
        <w:rPr>
          <w:rStyle w:val="None"/>
          <w:i/>
          <w:iCs/>
          <w:sz w:val="16"/>
          <w:szCs w:val="16"/>
        </w:rPr>
        <w:t>ADB: Transforming Partnership: People’s Republic of China and Asian Development Bank, 2016–2020. January 2016</w:t>
      </w:r>
    </w:p>
  </w:footnote>
  <w:footnote w:id="4">
    <w:p w:rsidR="00442435" w:rsidRDefault="00442435">
      <w:pPr>
        <w:pStyle w:val="BodyA"/>
      </w:pPr>
      <w:r>
        <w:rPr>
          <w:rStyle w:val="None"/>
          <w:vertAlign w:val="superscript"/>
        </w:rPr>
        <w:footnoteRef/>
      </w:r>
      <w:r>
        <w:t xml:space="preserve"> </w:t>
      </w:r>
      <w:r>
        <w:rPr>
          <w:rStyle w:val="None"/>
          <w:i/>
          <w:iCs/>
          <w:sz w:val="16"/>
          <w:szCs w:val="16"/>
        </w:rPr>
        <w:t>UN Women (2016): Gender Dimensions of Vulnerability to Climate Change in China.</w:t>
      </w:r>
    </w:p>
  </w:footnote>
  <w:footnote w:id="5">
    <w:p w:rsidR="00442435" w:rsidRDefault="00442435">
      <w:pPr>
        <w:pStyle w:val="BodyA"/>
      </w:pPr>
      <w:r>
        <w:rPr>
          <w:rStyle w:val="None"/>
          <w:vertAlign w:val="superscript"/>
        </w:rPr>
        <w:footnoteRef/>
      </w:r>
      <w:r>
        <w:t xml:space="preserve"> </w:t>
      </w:r>
      <w:r>
        <w:rPr>
          <w:rStyle w:val="None"/>
          <w:i/>
          <w:iCs/>
          <w:kern w:val="36"/>
          <w:sz w:val="16"/>
          <w:szCs w:val="16"/>
        </w:rPr>
        <w:t xml:space="preserve">PRC State Council (2015): White Paper - Gender Equality and Development in China. </w:t>
      </w:r>
    </w:p>
  </w:footnote>
  <w:footnote w:id="6">
    <w:p w:rsidR="00442435" w:rsidRDefault="00442435">
      <w:pPr>
        <w:pStyle w:val="BodyA"/>
      </w:pPr>
      <w:r>
        <w:rPr>
          <w:rStyle w:val="None"/>
          <w:vertAlign w:val="superscript"/>
        </w:rPr>
        <w:footnoteRef/>
      </w:r>
      <w:r>
        <w:t xml:space="preserve"> </w:t>
      </w:r>
      <w:r>
        <w:rPr>
          <w:rStyle w:val="None"/>
          <w:i/>
          <w:iCs/>
          <w:sz w:val="16"/>
          <w:szCs w:val="16"/>
        </w:rPr>
        <w:t xml:space="preserve">ADB (2016): Transforming Partnership: People’s Republic of China and Asian Development Bank, 2016–2020. </w:t>
      </w:r>
    </w:p>
  </w:footnote>
  <w:footnote w:id="7">
    <w:p w:rsidR="00442435" w:rsidRDefault="00442435">
      <w:pPr>
        <w:pStyle w:val="NormalWeb"/>
        <w:spacing w:before="0" w:after="0"/>
      </w:pPr>
      <w:r>
        <w:rPr>
          <w:rStyle w:val="None"/>
          <w:vertAlign w:val="superscript"/>
        </w:rPr>
        <w:footnoteRef/>
      </w:r>
      <w:r>
        <w:t xml:space="preserve"> </w:t>
      </w:r>
      <w:r>
        <w:rPr>
          <w:rStyle w:val="None"/>
          <w:rFonts w:ascii="Calibri" w:eastAsia="Calibri" w:hAnsi="Calibri" w:cs="Calibri"/>
          <w:i/>
          <w:iCs/>
          <w:sz w:val="16"/>
          <w:szCs w:val="16"/>
        </w:rPr>
        <w:t xml:space="preserve">Law of the People's Republic of China on the Protection of Rights and Interests of Women </w:t>
      </w:r>
      <w:hyperlink r:id="rId2" w:history="1">
        <w:r>
          <w:rPr>
            <w:rStyle w:val="Hyperlink0"/>
          </w:rPr>
          <w:t>https://www.cecc.gov/resources/legal-provisions/protection-of-womens-rights-and-interests-law-of-the-peoples-republic-of</w:t>
        </w:r>
      </w:hyperlink>
    </w:p>
  </w:footnote>
  <w:footnote w:id="8">
    <w:p w:rsidR="00442435" w:rsidRDefault="00442435">
      <w:pPr>
        <w:pStyle w:val="Default"/>
      </w:pPr>
      <w:r>
        <w:rPr>
          <w:rStyle w:val="None"/>
          <w:vertAlign w:val="superscript"/>
        </w:rPr>
        <w:footnoteRef/>
      </w:r>
      <w:r>
        <w:rPr>
          <w:rFonts w:eastAsia="Arial Unicode MS" w:cs="Arial Unicode MS"/>
        </w:rPr>
        <w:t xml:space="preserve"> </w:t>
      </w:r>
      <w:r>
        <w:rPr>
          <w:rStyle w:val="None"/>
          <w:rFonts w:ascii="Calibri" w:eastAsia="Calibri" w:hAnsi="Calibri" w:cs="Calibri"/>
          <w:i/>
          <w:iCs/>
          <w:sz w:val="16"/>
          <w:szCs w:val="16"/>
        </w:rPr>
        <w:t>ILO&amp;ADB: Gender Equality and the Labor Market Women, Work, and Migration in the Peoples Republic of China. 2017</w:t>
      </w:r>
    </w:p>
  </w:footnote>
  <w:footnote w:id="9">
    <w:p w:rsidR="00442435" w:rsidRDefault="00442435">
      <w:pPr>
        <w:pStyle w:val="BodyA"/>
      </w:pPr>
      <w:r>
        <w:rPr>
          <w:rStyle w:val="None"/>
          <w:vertAlign w:val="superscript"/>
        </w:rPr>
        <w:footnoteRef/>
      </w:r>
      <w:r>
        <w:rPr>
          <w:rStyle w:val="None"/>
        </w:rPr>
        <w:t xml:space="preserve"> </w:t>
      </w:r>
      <w:r>
        <w:rPr>
          <w:rStyle w:val="None"/>
          <w:i/>
          <w:iCs/>
          <w:sz w:val="16"/>
          <w:szCs w:val="16"/>
        </w:rPr>
        <w:t xml:space="preserve">Bohong Liu et. al: </w:t>
      </w:r>
      <w:r>
        <w:rPr>
          <w:rStyle w:val="None"/>
          <w:i/>
          <w:iCs/>
          <w:sz w:val="16"/>
          <w:szCs w:val="16"/>
          <w:lang w:val="pt-PT"/>
        </w:rPr>
        <w:t>Gender Equality</w:t>
      </w:r>
      <w:r>
        <w:rPr>
          <w:rStyle w:val="None"/>
          <w:i/>
          <w:iCs/>
          <w:sz w:val="16"/>
          <w:szCs w:val="16"/>
        </w:rPr>
        <w:t xml:space="preserve"> </w:t>
      </w:r>
      <w:r>
        <w:rPr>
          <w:rStyle w:val="None"/>
          <w:i/>
          <w:iCs/>
          <w:sz w:val="16"/>
          <w:szCs w:val="16"/>
          <w:lang w:val="nl-NL"/>
        </w:rPr>
        <w:t>in China's</w:t>
      </w:r>
      <w:r>
        <w:rPr>
          <w:rStyle w:val="None"/>
          <w:i/>
          <w:iCs/>
          <w:sz w:val="16"/>
          <w:szCs w:val="16"/>
        </w:rPr>
        <w:t xml:space="preserve"> </w:t>
      </w:r>
      <w:r>
        <w:rPr>
          <w:rStyle w:val="None"/>
          <w:i/>
          <w:iCs/>
          <w:sz w:val="16"/>
          <w:szCs w:val="16"/>
          <w:lang w:val="it-IT"/>
        </w:rPr>
        <w:t>Economic</w:t>
      </w:r>
      <w:r>
        <w:rPr>
          <w:rStyle w:val="None"/>
          <w:i/>
          <w:iCs/>
          <w:sz w:val="16"/>
          <w:szCs w:val="16"/>
        </w:rPr>
        <w:t xml:space="preserve"> </w:t>
      </w:r>
      <w:r>
        <w:rPr>
          <w:rStyle w:val="None"/>
          <w:i/>
          <w:iCs/>
          <w:sz w:val="16"/>
          <w:szCs w:val="16"/>
          <w:lang w:val="fr-FR"/>
        </w:rPr>
        <w:t>Transformation</w:t>
      </w:r>
      <w:r>
        <w:rPr>
          <w:rStyle w:val="None"/>
          <w:i/>
          <w:iCs/>
          <w:sz w:val="16"/>
          <w:szCs w:val="16"/>
        </w:rPr>
        <w:t>. October 2014</w:t>
      </w:r>
    </w:p>
  </w:footnote>
  <w:footnote w:id="10">
    <w:p w:rsidR="00442435" w:rsidRDefault="00442435">
      <w:pPr>
        <w:pStyle w:val="BodyA"/>
      </w:pPr>
      <w:r>
        <w:rPr>
          <w:rStyle w:val="None"/>
          <w:vertAlign w:val="superscript"/>
        </w:rPr>
        <w:footnoteRef/>
      </w:r>
      <w:r>
        <w:t xml:space="preserve"> </w:t>
      </w:r>
      <w:r>
        <w:rPr>
          <w:rStyle w:val="None"/>
          <w:i/>
          <w:iCs/>
          <w:kern w:val="36"/>
          <w:sz w:val="16"/>
          <w:szCs w:val="16"/>
        </w:rPr>
        <w:t xml:space="preserve">PRC State Council (2015): White Paper - Gender Equality and Development in China. </w:t>
      </w:r>
    </w:p>
  </w:footnote>
  <w:footnote w:id="11">
    <w:p w:rsidR="00442435" w:rsidRDefault="00442435">
      <w:pPr>
        <w:pStyle w:val="BodyA"/>
      </w:pPr>
      <w:r>
        <w:rPr>
          <w:rStyle w:val="None"/>
          <w:vertAlign w:val="superscript"/>
        </w:rPr>
        <w:footnoteRef/>
      </w:r>
      <w:r>
        <w:t xml:space="preserve"> </w:t>
      </w:r>
      <w:r>
        <w:rPr>
          <w:rStyle w:val="None"/>
          <w:sz w:val="16"/>
          <w:szCs w:val="16"/>
        </w:rPr>
        <w:t xml:space="preserve">Ibid. </w:t>
      </w:r>
    </w:p>
  </w:footnote>
  <w:footnote w:id="12">
    <w:p w:rsidR="00442435" w:rsidRDefault="00442435">
      <w:pPr>
        <w:pStyle w:val="BodyA"/>
      </w:pPr>
      <w:r>
        <w:rPr>
          <w:rStyle w:val="None"/>
          <w:vertAlign w:val="superscript"/>
        </w:rPr>
        <w:footnoteRef/>
      </w:r>
      <w:r>
        <w:t xml:space="preserve"> </w:t>
      </w:r>
      <w:r>
        <w:rPr>
          <w:rStyle w:val="None"/>
          <w:sz w:val="16"/>
          <w:szCs w:val="16"/>
        </w:rPr>
        <w:t>Ibid.</w:t>
      </w:r>
    </w:p>
  </w:footnote>
  <w:footnote w:id="13">
    <w:p w:rsidR="00442435" w:rsidRDefault="00442435">
      <w:pPr>
        <w:pStyle w:val="BodyA"/>
      </w:pPr>
      <w:r>
        <w:rPr>
          <w:rStyle w:val="None"/>
          <w:vertAlign w:val="superscript"/>
        </w:rPr>
        <w:footnoteRef/>
      </w:r>
      <w:r>
        <w:t xml:space="preserve"> </w:t>
      </w:r>
      <w:r>
        <w:rPr>
          <w:rStyle w:val="None"/>
          <w:sz w:val="16"/>
          <w:szCs w:val="16"/>
        </w:rPr>
        <w:t>Ibid.</w:t>
      </w:r>
    </w:p>
  </w:footnote>
  <w:footnote w:id="14">
    <w:p w:rsidR="00442435" w:rsidRDefault="00442435">
      <w:pPr>
        <w:pStyle w:val="BodyA"/>
      </w:pPr>
      <w:r>
        <w:rPr>
          <w:rStyle w:val="None"/>
          <w:vertAlign w:val="superscript"/>
        </w:rPr>
        <w:footnoteRef/>
      </w:r>
      <w:r>
        <w:t xml:space="preserve"> </w:t>
      </w:r>
      <w:r>
        <w:rPr>
          <w:rStyle w:val="None"/>
          <w:i/>
          <w:iCs/>
          <w:kern w:val="36"/>
          <w:sz w:val="16"/>
          <w:szCs w:val="16"/>
        </w:rPr>
        <w:t xml:space="preserve">PRC State Council (2015): White Paper - Gender Equality and Development in China. </w:t>
      </w:r>
    </w:p>
  </w:footnote>
  <w:footnote w:id="15">
    <w:p w:rsidR="00442435" w:rsidRDefault="00442435">
      <w:pPr>
        <w:pStyle w:val="BodyA"/>
      </w:pPr>
      <w:r>
        <w:rPr>
          <w:rStyle w:val="None"/>
          <w:vertAlign w:val="superscript"/>
        </w:rPr>
        <w:footnoteRef/>
      </w:r>
      <w:r>
        <w:t xml:space="preserve"> </w:t>
      </w:r>
      <w:r>
        <w:rPr>
          <w:rStyle w:val="None"/>
          <w:sz w:val="16"/>
          <w:szCs w:val="16"/>
        </w:rPr>
        <w:t>Ibid.</w:t>
      </w:r>
    </w:p>
  </w:footnote>
  <w:footnote w:id="16">
    <w:p w:rsidR="00442435" w:rsidRDefault="00442435">
      <w:pPr>
        <w:pStyle w:val="BodyA"/>
      </w:pPr>
      <w:r>
        <w:rPr>
          <w:rStyle w:val="None"/>
          <w:vertAlign w:val="superscript"/>
        </w:rPr>
        <w:footnoteRef/>
      </w:r>
      <w:r>
        <w:t xml:space="preserve"> </w:t>
      </w:r>
      <w:r>
        <w:rPr>
          <w:rStyle w:val="None"/>
          <w:sz w:val="16"/>
          <w:szCs w:val="16"/>
        </w:rPr>
        <w:t>Ibid.</w:t>
      </w:r>
    </w:p>
  </w:footnote>
  <w:footnote w:id="17">
    <w:p w:rsidR="00442435" w:rsidRDefault="00442435">
      <w:pPr>
        <w:pStyle w:val="FootnoteText"/>
      </w:pPr>
      <w:r>
        <w:rPr>
          <w:rStyle w:val="None"/>
          <w:vertAlign w:val="superscript"/>
        </w:rPr>
        <w:footnoteRef/>
      </w:r>
      <w:r>
        <w:t xml:space="preserve"> </w:t>
      </w:r>
      <w:r>
        <w:rPr>
          <w:rStyle w:val="None"/>
          <w:sz w:val="16"/>
          <w:szCs w:val="16"/>
        </w:rPr>
        <w:t>In 2009 China’s GDI was 75 and its GEM was 72 where the GDI is a development indicator related to gender. It measures the basic capacity and achievement as HDI does, but focuses on the inequality of achievements of men and women. The greater the gender disparity in basic capacity, the lower a country’s GDI is compared with its HDI.  GEM also measures gender equality. It focuses on whether women and men can actively engage in economic and political life and policymaking. The greater the gender disparity in engagement, the lower GEM is.</w:t>
      </w:r>
    </w:p>
  </w:footnote>
  <w:footnote w:id="18">
    <w:p w:rsidR="00442435" w:rsidRDefault="00442435">
      <w:pPr>
        <w:pStyle w:val="BodyA"/>
      </w:pPr>
      <w:r>
        <w:rPr>
          <w:rStyle w:val="None"/>
          <w:vertAlign w:val="superscript"/>
        </w:rPr>
        <w:footnoteRef/>
      </w:r>
      <w:r>
        <w:t xml:space="preserve"> </w:t>
      </w:r>
      <w:r>
        <w:rPr>
          <w:rStyle w:val="None"/>
          <w:i/>
          <w:iCs/>
          <w:sz w:val="16"/>
          <w:szCs w:val="16"/>
        </w:rPr>
        <w:t>National Bureau of Statistics of China: Women and Men in China - Facts and Figures 2012</w:t>
      </w:r>
    </w:p>
  </w:footnote>
  <w:footnote w:id="19">
    <w:p w:rsidR="00442435" w:rsidRDefault="00442435">
      <w:pPr>
        <w:pStyle w:val="BodyA"/>
      </w:pPr>
      <w:r>
        <w:rPr>
          <w:rStyle w:val="None"/>
          <w:vertAlign w:val="superscript"/>
        </w:rPr>
        <w:footnoteRef/>
      </w:r>
      <w:r>
        <w:rPr>
          <w:rStyle w:val="None"/>
          <w:sz w:val="16"/>
          <w:szCs w:val="16"/>
        </w:rPr>
        <w:t>Ibid.</w:t>
      </w:r>
    </w:p>
  </w:footnote>
  <w:footnote w:id="20">
    <w:p w:rsidR="00442435" w:rsidRDefault="00442435">
      <w:pPr>
        <w:pStyle w:val="BodyA"/>
      </w:pPr>
      <w:r>
        <w:rPr>
          <w:rStyle w:val="None"/>
          <w:vertAlign w:val="superscript"/>
        </w:rPr>
        <w:footnoteRef/>
      </w:r>
      <w:r>
        <w:rPr>
          <w:rStyle w:val="None"/>
          <w:sz w:val="16"/>
          <w:szCs w:val="16"/>
        </w:rPr>
        <w:t>Ibid.</w:t>
      </w:r>
    </w:p>
  </w:footnote>
  <w:footnote w:id="21">
    <w:p w:rsidR="00442435" w:rsidRDefault="00442435">
      <w:pPr>
        <w:pStyle w:val="BodyA"/>
      </w:pPr>
      <w:r>
        <w:rPr>
          <w:rStyle w:val="None"/>
          <w:vertAlign w:val="superscript"/>
        </w:rPr>
        <w:footnoteRef/>
      </w:r>
      <w:r>
        <w:t xml:space="preserve"> </w:t>
      </w:r>
      <w:r>
        <w:rPr>
          <w:rStyle w:val="None"/>
          <w:i/>
          <w:iCs/>
          <w:sz w:val="16"/>
          <w:szCs w:val="16"/>
        </w:rPr>
        <w:t xml:space="preserve">UN Women (2016): Gender Dimensions of Vulnerability to Climate Change in China. </w:t>
      </w:r>
    </w:p>
  </w:footnote>
  <w:footnote w:id="22">
    <w:p w:rsidR="00442435" w:rsidRDefault="00442435">
      <w:pPr>
        <w:pStyle w:val="Default"/>
      </w:pPr>
      <w:r>
        <w:rPr>
          <w:rStyle w:val="None"/>
          <w:vertAlign w:val="superscript"/>
        </w:rPr>
        <w:footnoteRef/>
      </w:r>
      <w:r>
        <w:rPr>
          <w:rFonts w:eastAsia="Arial Unicode MS" w:cs="Arial Unicode MS"/>
        </w:rPr>
        <w:t xml:space="preserve"> </w:t>
      </w:r>
      <w:r>
        <w:rPr>
          <w:rStyle w:val="None"/>
          <w:rFonts w:ascii="Calibri" w:eastAsia="Calibri" w:hAnsi="Calibri" w:cs="Calibri"/>
          <w:i/>
          <w:iCs/>
          <w:sz w:val="16"/>
          <w:szCs w:val="16"/>
        </w:rPr>
        <w:t xml:space="preserve">ILO &amp; ADB( 2017): Gender Equality and the Labor Market Women, Work, and Migration in the Peoples Republic of China. </w:t>
      </w:r>
    </w:p>
  </w:footnote>
  <w:footnote w:id="23">
    <w:p w:rsidR="00442435" w:rsidRDefault="00442435">
      <w:pPr>
        <w:pStyle w:val="Default"/>
      </w:pPr>
      <w:r>
        <w:rPr>
          <w:rStyle w:val="None"/>
          <w:vertAlign w:val="superscript"/>
        </w:rPr>
        <w:footnoteRef/>
      </w:r>
      <w:r>
        <w:rPr>
          <w:rFonts w:eastAsia="Arial Unicode MS" w:cs="Arial Unicode MS"/>
        </w:rPr>
        <w:t xml:space="preserve"> </w:t>
      </w:r>
      <w:r>
        <w:rPr>
          <w:rStyle w:val="None"/>
          <w:rFonts w:eastAsia="Arial Unicode MS" w:cs="Arial Unicode MS"/>
          <w:sz w:val="16"/>
          <w:szCs w:val="16"/>
        </w:rPr>
        <w:t>Ibid.</w:t>
      </w:r>
    </w:p>
  </w:footnote>
  <w:footnote w:id="24">
    <w:p w:rsidR="00442435" w:rsidRDefault="00442435">
      <w:pPr>
        <w:pStyle w:val="BodyA"/>
      </w:pPr>
      <w:r>
        <w:rPr>
          <w:rStyle w:val="None"/>
          <w:vertAlign w:val="superscript"/>
        </w:rPr>
        <w:footnoteRef/>
      </w:r>
      <w:r>
        <w:rPr>
          <w:rStyle w:val="None"/>
        </w:rPr>
        <w:t xml:space="preserve"> </w:t>
      </w:r>
      <w:r>
        <w:rPr>
          <w:rStyle w:val="None"/>
          <w:i/>
          <w:iCs/>
          <w:sz w:val="16"/>
          <w:szCs w:val="16"/>
        </w:rPr>
        <w:t xml:space="preserve">Bohong Liu et. Al (2014): </w:t>
      </w:r>
      <w:r>
        <w:rPr>
          <w:rStyle w:val="None"/>
          <w:i/>
          <w:iCs/>
          <w:sz w:val="16"/>
          <w:szCs w:val="16"/>
          <w:lang w:val="pt-PT"/>
        </w:rPr>
        <w:t>Gender Equality</w:t>
      </w:r>
      <w:r>
        <w:rPr>
          <w:rStyle w:val="None"/>
          <w:i/>
          <w:iCs/>
          <w:sz w:val="16"/>
          <w:szCs w:val="16"/>
        </w:rPr>
        <w:t xml:space="preserve"> </w:t>
      </w:r>
      <w:r>
        <w:rPr>
          <w:rStyle w:val="None"/>
          <w:i/>
          <w:iCs/>
          <w:sz w:val="16"/>
          <w:szCs w:val="16"/>
          <w:lang w:val="nl-NL"/>
        </w:rPr>
        <w:t>in China's</w:t>
      </w:r>
      <w:r>
        <w:rPr>
          <w:rStyle w:val="None"/>
          <w:i/>
          <w:iCs/>
          <w:sz w:val="16"/>
          <w:szCs w:val="16"/>
        </w:rPr>
        <w:t xml:space="preserve"> </w:t>
      </w:r>
      <w:r>
        <w:rPr>
          <w:rStyle w:val="None"/>
          <w:i/>
          <w:iCs/>
          <w:sz w:val="16"/>
          <w:szCs w:val="16"/>
          <w:lang w:val="it-IT"/>
        </w:rPr>
        <w:t>Economic</w:t>
      </w:r>
      <w:r>
        <w:rPr>
          <w:rStyle w:val="None"/>
          <w:i/>
          <w:iCs/>
          <w:sz w:val="16"/>
          <w:szCs w:val="16"/>
        </w:rPr>
        <w:t xml:space="preserve"> </w:t>
      </w:r>
      <w:r>
        <w:rPr>
          <w:rStyle w:val="None"/>
          <w:i/>
          <w:iCs/>
          <w:sz w:val="16"/>
          <w:szCs w:val="16"/>
          <w:lang w:val="fr-FR"/>
        </w:rPr>
        <w:t>Transformation</w:t>
      </w:r>
      <w:r>
        <w:rPr>
          <w:rStyle w:val="None"/>
          <w:i/>
          <w:iCs/>
          <w:sz w:val="16"/>
          <w:szCs w:val="16"/>
        </w:rPr>
        <w:t xml:space="preserve">. </w:t>
      </w:r>
    </w:p>
  </w:footnote>
  <w:footnote w:id="25">
    <w:p w:rsidR="00442435" w:rsidRDefault="00442435">
      <w:pPr>
        <w:pStyle w:val="BodyA"/>
      </w:pPr>
      <w:r>
        <w:rPr>
          <w:rStyle w:val="None"/>
          <w:vertAlign w:val="superscript"/>
        </w:rPr>
        <w:footnoteRef/>
      </w:r>
      <w:r>
        <w:t xml:space="preserve"> </w:t>
      </w:r>
      <w:r>
        <w:rPr>
          <w:rStyle w:val="None"/>
          <w:sz w:val="16"/>
          <w:szCs w:val="16"/>
        </w:rPr>
        <w:t>Ibid.</w:t>
      </w:r>
    </w:p>
  </w:footnote>
  <w:footnote w:id="26">
    <w:p w:rsidR="00442435" w:rsidRDefault="00442435">
      <w:pPr>
        <w:pStyle w:val="BodyA"/>
      </w:pPr>
      <w:r>
        <w:rPr>
          <w:rStyle w:val="None"/>
          <w:vertAlign w:val="superscript"/>
        </w:rPr>
        <w:footnoteRef/>
      </w:r>
      <w:r>
        <w:t xml:space="preserve"> </w:t>
      </w:r>
      <w:r>
        <w:rPr>
          <w:rStyle w:val="None"/>
          <w:i/>
          <w:iCs/>
          <w:sz w:val="16"/>
          <w:szCs w:val="16"/>
        </w:rPr>
        <w:t>National Bureau of Statistics of China: Women and Men in China - Facts and Figures 2012</w:t>
      </w:r>
    </w:p>
  </w:footnote>
  <w:footnote w:id="27">
    <w:p w:rsidR="00442435" w:rsidRDefault="00442435">
      <w:pPr>
        <w:pStyle w:val="BodyA"/>
      </w:pPr>
      <w:r>
        <w:rPr>
          <w:rStyle w:val="None"/>
          <w:vertAlign w:val="superscript"/>
        </w:rPr>
        <w:footnoteRef/>
      </w:r>
      <w:r>
        <w:t xml:space="preserve"> </w:t>
      </w:r>
      <w:r>
        <w:rPr>
          <w:rStyle w:val="None"/>
          <w:i/>
          <w:iCs/>
          <w:sz w:val="16"/>
          <w:szCs w:val="16"/>
        </w:rPr>
        <w:t xml:space="preserve">UN Women(2016): Gender Dimensions of Vulnerability to Climate Change in China. </w:t>
      </w:r>
    </w:p>
  </w:footnote>
  <w:footnote w:id="28">
    <w:p w:rsidR="00442435" w:rsidRDefault="00442435">
      <w:pPr>
        <w:pStyle w:val="BodyA"/>
      </w:pPr>
      <w:r>
        <w:rPr>
          <w:rStyle w:val="None"/>
          <w:vertAlign w:val="superscript"/>
        </w:rPr>
        <w:footnoteRef/>
      </w:r>
      <w:r>
        <w:t xml:space="preserve"> </w:t>
      </w:r>
      <w:r>
        <w:rPr>
          <w:rStyle w:val="None"/>
          <w:i/>
          <w:iCs/>
          <w:sz w:val="16"/>
          <w:szCs w:val="16"/>
        </w:rPr>
        <w:t>National Bureau of Statistics of China: Women and Men in China - Facts and Figures 2012</w:t>
      </w:r>
    </w:p>
  </w:footnote>
  <w:footnote w:id="29">
    <w:p w:rsidR="00442435" w:rsidRDefault="00442435">
      <w:pPr>
        <w:pStyle w:val="BodyA"/>
      </w:pPr>
      <w:r>
        <w:rPr>
          <w:rStyle w:val="None"/>
          <w:vertAlign w:val="superscript"/>
        </w:rPr>
        <w:footnoteRef/>
      </w:r>
      <w:r>
        <w:rPr>
          <w:rStyle w:val="None"/>
        </w:rPr>
        <w:t xml:space="preserve"> </w:t>
      </w:r>
      <w:r>
        <w:rPr>
          <w:rStyle w:val="None"/>
          <w:i/>
          <w:iCs/>
          <w:sz w:val="16"/>
          <w:szCs w:val="16"/>
        </w:rPr>
        <w:t xml:space="preserve">World Bank (2009): From poor areas to poor people: </w:t>
      </w:r>
      <w:r>
        <w:rPr>
          <w:rStyle w:val="None"/>
          <w:i/>
          <w:iCs/>
          <w:sz w:val="16"/>
          <w:szCs w:val="16"/>
          <w:lang w:val="de-DE"/>
        </w:rPr>
        <w:t>China</w:t>
      </w:r>
      <w:r>
        <w:rPr>
          <w:rStyle w:val="None"/>
          <w:i/>
          <w:iCs/>
          <w:sz w:val="16"/>
          <w:szCs w:val="16"/>
        </w:rPr>
        <w:t>’s evolving poverty reduction agenda An assessment of poverty and inequality in China</w:t>
      </w:r>
    </w:p>
  </w:footnote>
  <w:footnote w:id="30">
    <w:p w:rsidR="00442435" w:rsidRDefault="00442435">
      <w:pPr>
        <w:pStyle w:val="Default"/>
      </w:pPr>
      <w:r>
        <w:rPr>
          <w:rStyle w:val="None"/>
          <w:vertAlign w:val="superscript"/>
        </w:rPr>
        <w:footnoteRef/>
      </w:r>
      <w:r>
        <w:rPr>
          <w:rFonts w:eastAsia="Arial Unicode MS" w:cs="Arial Unicode MS"/>
        </w:rPr>
        <w:t xml:space="preserve"> </w:t>
      </w:r>
      <w:r>
        <w:rPr>
          <w:rStyle w:val="None"/>
          <w:rFonts w:ascii="Calibri" w:eastAsia="Calibri" w:hAnsi="Calibri" w:cs="Calibri"/>
          <w:i/>
          <w:iCs/>
          <w:sz w:val="16"/>
          <w:szCs w:val="16"/>
        </w:rPr>
        <w:t>ILO &amp; ADB (2017): Gender Equality and the Labor Market Women, Work, and Migration in the Peoples Republic of China.</w:t>
      </w:r>
    </w:p>
  </w:footnote>
  <w:footnote w:id="31">
    <w:p w:rsidR="00442435" w:rsidRDefault="00442435">
      <w:pPr>
        <w:pStyle w:val="BodyA"/>
      </w:pPr>
      <w:r>
        <w:rPr>
          <w:rStyle w:val="None"/>
          <w:vertAlign w:val="superscript"/>
        </w:rPr>
        <w:footnoteRef/>
      </w:r>
      <w:r>
        <w:t xml:space="preserve"> </w:t>
      </w:r>
      <w:r>
        <w:rPr>
          <w:rStyle w:val="None"/>
          <w:i/>
          <w:iCs/>
          <w:kern w:val="36"/>
          <w:sz w:val="16"/>
          <w:szCs w:val="16"/>
        </w:rPr>
        <w:t xml:space="preserve">PRC State Council (2015): White Paper - Gender Equality and Development in China. </w:t>
      </w:r>
    </w:p>
  </w:footnote>
  <w:footnote w:id="32">
    <w:p w:rsidR="00442435" w:rsidRDefault="00442435">
      <w:pPr>
        <w:pStyle w:val="Default"/>
      </w:pPr>
      <w:r>
        <w:rPr>
          <w:rStyle w:val="None"/>
          <w:vertAlign w:val="superscript"/>
        </w:rPr>
        <w:footnoteRef/>
      </w:r>
      <w:r>
        <w:rPr>
          <w:rFonts w:eastAsia="Arial Unicode MS" w:cs="Arial Unicode MS"/>
        </w:rPr>
        <w:t xml:space="preserve"> </w:t>
      </w:r>
      <w:r>
        <w:rPr>
          <w:rStyle w:val="None"/>
          <w:rFonts w:ascii="Calibri" w:eastAsia="Calibri" w:hAnsi="Calibri" w:cs="Calibri"/>
          <w:i/>
          <w:iCs/>
          <w:sz w:val="16"/>
          <w:szCs w:val="16"/>
        </w:rPr>
        <w:t>ILO &amp; ADB (20170: Gender Equality and the Labor Market Women, Work, and Migration in the Peoples Republic of China.</w:t>
      </w:r>
    </w:p>
  </w:footnote>
  <w:footnote w:id="33">
    <w:p w:rsidR="00442435" w:rsidRDefault="00442435">
      <w:pPr>
        <w:pStyle w:val="BodyA"/>
      </w:pPr>
      <w:r>
        <w:rPr>
          <w:rStyle w:val="None"/>
          <w:vertAlign w:val="superscript"/>
        </w:rPr>
        <w:footnoteRef/>
      </w:r>
      <w:r>
        <w:t xml:space="preserve"> </w:t>
      </w:r>
      <w:r>
        <w:rPr>
          <w:rStyle w:val="None"/>
          <w:i/>
          <w:iCs/>
          <w:sz w:val="16"/>
          <w:szCs w:val="16"/>
        </w:rPr>
        <w:t>UN Women (2016): Gender Dimensions of Vulnerability to Climate Change in China.</w:t>
      </w:r>
    </w:p>
  </w:footnote>
  <w:footnote w:id="34">
    <w:p w:rsidR="00442435" w:rsidRDefault="00442435">
      <w:pPr>
        <w:pStyle w:val="BodyA"/>
      </w:pPr>
      <w:r>
        <w:rPr>
          <w:rStyle w:val="None"/>
          <w:vertAlign w:val="superscript"/>
        </w:rPr>
        <w:footnoteRef/>
      </w:r>
      <w:r>
        <w:t xml:space="preserve"> </w:t>
      </w:r>
      <w:r>
        <w:rPr>
          <w:rStyle w:val="None"/>
          <w:i/>
          <w:iCs/>
          <w:kern w:val="36"/>
          <w:sz w:val="16"/>
          <w:szCs w:val="16"/>
        </w:rPr>
        <w:t>PRC State Council (2015): White Paper - Gender Equality and Development in China.</w:t>
      </w:r>
    </w:p>
  </w:footnote>
  <w:footnote w:id="35">
    <w:p w:rsidR="00442435" w:rsidRDefault="00442435">
      <w:pPr>
        <w:pStyle w:val="BodyA"/>
      </w:pPr>
      <w:r>
        <w:rPr>
          <w:rStyle w:val="None"/>
          <w:vertAlign w:val="superscript"/>
        </w:rPr>
        <w:footnoteRef/>
      </w:r>
      <w:r>
        <w:rPr>
          <w:rStyle w:val="None"/>
        </w:rPr>
        <w:t xml:space="preserve"> </w:t>
      </w:r>
      <w:r>
        <w:rPr>
          <w:rStyle w:val="None"/>
          <w:i/>
          <w:iCs/>
          <w:sz w:val="16"/>
          <w:szCs w:val="16"/>
          <w:lang w:val="de-DE"/>
        </w:rPr>
        <w:t>Jingzhong Ye , Huifang Wu, Jing Rao, Baoyin Ding &amp; Keyun Zhang (2016)</w:t>
      </w:r>
      <w:r>
        <w:rPr>
          <w:rStyle w:val="None"/>
          <w:i/>
          <w:iCs/>
          <w:sz w:val="16"/>
          <w:szCs w:val="16"/>
        </w:rPr>
        <w:t xml:space="preserve"> Left-behind women: gender exclusion and inequality in rural-urban migration in China, The Journal of Peasant Studies, 43:4, 910-941, DOI: 10.1080/03066150.2016.1157584</w:t>
      </w:r>
    </w:p>
  </w:footnote>
  <w:footnote w:id="36">
    <w:p w:rsidR="00442435" w:rsidRDefault="00442435">
      <w:pPr>
        <w:pStyle w:val="BodyA"/>
      </w:pPr>
      <w:r>
        <w:rPr>
          <w:rStyle w:val="None"/>
          <w:vertAlign w:val="superscript"/>
        </w:rPr>
        <w:footnoteRef/>
      </w:r>
      <w:r>
        <w:t xml:space="preserve"> </w:t>
      </w:r>
      <w:r>
        <w:rPr>
          <w:rStyle w:val="None"/>
          <w:i/>
          <w:iCs/>
          <w:sz w:val="16"/>
          <w:szCs w:val="16"/>
        </w:rPr>
        <w:t>UN Women (2016): Gender Dimensions of Vulnerability to Climate Change in China.</w:t>
      </w:r>
    </w:p>
  </w:footnote>
  <w:footnote w:id="37">
    <w:p w:rsidR="00442435" w:rsidRDefault="00442435">
      <w:pPr>
        <w:pStyle w:val="BodyA"/>
      </w:pPr>
      <w:r>
        <w:rPr>
          <w:rStyle w:val="None"/>
          <w:vertAlign w:val="superscript"/>
        </w:rPr>
        <w:footnoteRef/>
      </w:r>
      <w:r>
        <w:t xml:space="preserve"> </w:t>
      </w:r>
      <w:r>
        <w:rPr>
          <w:rStyle w:val="None"/>
          <w:sz w:val="16"/>
          <w:szCs w:val="16"/>
        </w:rPr>
        <w:t>Ibid.</w:t>
      </w:r>
    </w:p>
  </w:footnote>
  <w:footnote w:id="38">
    <w:p w:rsidR="00442435" w:rsidRDefault="00442435">
      <w:pPr>
        <w:pStyle w:val="BodyA"/>
      </w:pPr>
      <w:r>
        <w:rPr>
          <w:rStyle w:val="None"/>
          <w:vertAlign w:val="superscript"/>
        </w:rPr>
        <w:footnoteRef/>
      </w:r>
      <w:r>
        <w:t xml:space="preserve"> </w:t>
      </w:r>
      <w:r>
        <w:rPr>
          <w:rStyle w:val="None"/>
          <w:sz w:val="16"/>
          <w:szCs w:val="16"/>
        </w:rPr>
        <w:t>Ibid.</w:t>
      </w:r>
    </w:p>
  </w:footnote>
  <w:footnote w:id="39">
    <w:p w:rsidR="00442435" w:rsidRDefault="00442435">
      <w:pPr>
        <w:pStyle w:val="BodyA"/>
      </w:pPr>
      <w:r>
        <w:rPr>
          <w:rStyle w:val="None"/>
          <w:vertAlign w:val="superscript"/>
        </w:rPr>
        <w:footnoteRef/>
      </w:r>
      <w:r>
        <w:t xml:space="preserve"> </w:t>
      </w:r>
      <w:r>
        <w:rPr>
          <w:rStyle w:val="None"/>
          <w:sz w:val="16"/>
          <w:szCs w:val="16"/>
        </w:rPr>
        <w:t>Ibid.</w:t>
      </w:r>
    </w:p>
  </w:footnote>
  <w:footnote w:id="40">
    <w:p w:rsidR="00442435" w:rsidRDefault="00442435">
      <w:pPr>
        <w:pStyle w:val="BodyA"/>
      </w:pPr>
      <w:r>
        <w:rPr>
          <w:rStyle w:val="None"/>
          <w:vertAlign w:val="superscript"/>
        </w:rPr>
        <w:footnoteRef/>
      </w:r>
      <w:r>
        <w:t xml:space="preserve"> </w:t>
      </w:r>
      <w:r>
        <w:rPr>
          <w:rStyle w:val="None"/>
          <w:sz w:val="16"/>
          <w:szCs w:val="16"/>
        </w:rPr>
        <w:t>Ibid.</w:t>
      </w:r>
    </w:p>
  </w:footnote>
  <w:footnote w:id="41">
    <w:p w:rsidR="00442435" w:rsidRDefault="00442435">
      <w:pPr>
        <w:pStyle w:val="BodyA"/>
      </w:pPr>
      <w:r>
        <w:rPr>
          <w:rStyle w:val="None"/>
          <w:rFonts w:ascii="Times New Roman" w:eastAsia="Times New Roman" w:hAnsi="Times New Roman" w:cs="Times New Roman"/>
          <w:i/>
          <w:iCs/>
          <w:vertAlign w:val="superscript"/>
        </w:rPr>
        <w:footnoteRef/>
      </w:r>
      <w:r>
        <w:t xml:space="preserve"> </w:t>
      </w:r>
      <w:r>
        <w:rPr>
          <w:rStyle w:val="None"/>
          <w:i/>
          <w:iCs/>
          <w:sz w:val="16"/>
          <w:szCs w:val="16"/>
        </w:rPr>
        <w:t>National Bureau of Statistics of China: Women and Men in China - Facts and Figures 2012</w:t>
      </w:r>
    </w:p>
  </w:footnote>
  <w:footnote w:id="42">
    <w:p w:rsidR="00442435" w:rsidRDefault="00442435">
      <w:pPr>
        <w:pStyle w:val="BodyA"/>
      </w:pPr>
      <w:r>
        <w:rPr>
          <w:rStyle w:val="None"/>
          <w:vertAlign w:val="superscript"/>
        </w:rPr>
        <w:footnoteRef/>
      </w:r>
      <w:r>
        <w:t xml:space="preserve"> </w:t>
      </w:r>
      <w:r>
        <w:rPr>
          <w:rStyle w:val="None"/>
          <w:sz w:val="16"/>
          <w:szCs w:val="16"/>
        </w:rPr>
        <w:t>Ibid.</w:t>
      </w:r>
    </w:p>
  </w:footnote>
  <w:footnote w:id="43">
    <w:p w:rsidR="00442435" w:rsidRDefault="00442435">
      <w:pPr>
        <w:pStyle w:val="BodyA"/>
      </w:pPr>
      <w:r>
        <w:rPr>
          <w:rStyle w:val="None"/>
          <w:vertAlign w:val="superscript"/>
        </w:rPr>
        <w:footnoteRef/>
      </w:r>
      <w:r>
        <w:t xml:space="preserve"> </w:t>
      </w:r>
      <w:r>
        <w:rPr>
          <w:rStyle w:val="None"/>
          <w:sz w:val="16"/>
          <w:szCs w:val="16"/>
        </w:rPr>
        <w:t>Ibid.</w:t>
      </w:r>
    </w:p>
  </w:footnote>
  <w:footnote w:id="44">
    <w:p w:rsidR="00442435" w:rsidRDefault="00442435">
      <w:pPr>
        <w:pStyle w:val="BodyA"/>
      </w:pPr>
      <w:r>
        <w:rPr>
          <w:rStyle w:val="None"/>
          <w:vertAlign w:val="superscript"/>
        </w:rPr>
        <w:footnoteRef/>
      </w:r>
      <w:r>
        <w:t xml:space="preserve"> </w:t>
      </w:r>
      <w:r>
        <w:rPr>
          <w:rStyle w:val="None"/>
          <w:sz w:val="16"/>
          <w:szCs w:val="16"/>
        </w:rPr>
        <w:t>Ibid.</w:t>
      </w:r>
    </w:p>
  </w:footnote>
  <w:footnote w:id="45">
    <w:p w:rsidR="00442435" w:rsidRDefault="00442435">
      <w:pPr>
        <w:pStyle w:val="BodyA"/>
      </w:pPr>
      <w:r>
        <w:rPr>
          <w:rStyle w:val="None"/>
          <w:vertAlign w:val="superscript"/>
        </w:rPr>
        <w:footnoteRef/>
      </w:r>
      <w:r>
        <w:t xml:space="preserve"> </w:t>
      </w:r>
      <w:r>
        <w:rPr>
          <w:rStyle w:val="None"/>
          <w:sz w:val="16"/>
          <w:szCs w:val="16"/>
        </w:rPr>
        <w:t>Ibid.</w:t>
      </w:r>
    </w:p>
  </w:footnote>
  <w:footnote w:id="46">
    <w:p w:rsidR="00442435" w:rsidRDefault="00442435">
      <w:pPr>
        <w:pStyle w:val="BodyA"/>
      </w:pPr>
      <w:r>
        <w:rPr>
          <w:rStyle w:val="None"/>
          <w:vertAlign w:val="superscript"/>
        </w:rPr>
        <w:footnoteRef/>
      </w:r>
      <w:r>
        <w:t xml:space="preserve"> </w:t>
      </w:r>
      <w:r>
        <w:rPr>
          <w:rStyle w:val="None"/>
          <w:sz w:val="16"/>
          <w:szCs w:val="16"/>
        </w:rPr>
        <w:t>Ibid.</w:t>
      </w:r>
    </w:p>
  </w:footnote>
  <w:footnote w:id="47">
    <w:p w:rsidR="00442435" w:rsidRDefault="00442435">
      <w:pPr>
        <w:pStyle w:val="BodyA"/>
      </w:pPr>
      <w:r>
        <w:rPr>
          <w:rStyle w:val="None"/>
          <w:vertAlign w:val="superscript"/>
        </w:rPr>
        <w:footnoteRef/>
      </w:r>
      <w:r>
        <w:rPr>
          <w:rStyle w:val="None"/>
        </w:rPr>
        <w:t xml:space="preserve"> </w:t>
      </w:r>
      <w:r>
        <w:rPr>
          <w:rStyle w:val="None"/>
          <w:i/>
          <w:iCs/>
          <w:sz w:val="16"/>
          <w:szCs w:val="16"/>
        </w:rPr>
        <w:t xml:space="preserve">Bohong Liu et. Al (2014): </w:t>
      </w:r>
      <w:r>
        <w:rPr>
          <w:rStyle w:val="None"/>
          <w:i/>
          <w:iCs/>
          <w:sz w:val="16"/>
          <w:szCs w:val="16"/>
          <w:lang w:val="pt-PT"/>
        </w:rPr>
        <w:t>Gender Equality</w:t>
      </w:r>
      <w:r>
        <w:rPr>
          <w:rStyle w:val="None"/>
          <w:i/>
          <w:iCs/>
          <w:sz w:val="16"/>
          <w:szCs w:val="16"/>
        </w:rPr>
        <w:t xml:space="preserve"> </w:t>
      </w:r>
      <w:r>
        <w:rPr>
          <w:rStyle w:val="None"/>
          <w:i/>
          <w:iCs/>
          <w:sz w:val="16"/>
          <w:szCs w:val="16"/>
          <w:lang w:val="nl-NL"/>
        </w:rPr>
        <w:t>in China's</w:t>
      </w:r>
      <w:r>
        <w:rPr>
          <w:rStyle w:val="None"/>
          <w:i/>
          <w:iCs/>
          <w:sz w:val="16"/>
          <w:szCs w:val="16"/>
        </w:rPr>
        <w:t xml:space="preserve"> </w:t>
      </w:r>
      <w:r>
        <w:rPr>
          <w:rStyle w:val="None"/>
          <w:i/>
          <w:iCs/>
          <w:sz w:val="16"/>
          <w:szCs w:val="16"/>
          <w:lang w:val="it-IT"/>
        </w:rPr>
        <w:t>Economic</w:t>
      </w:r>
      <w:r>
        <w:rPr>
          <w:rStyle w:val="None"/>
          <w:i/>
          <w:iCs/>
          <w:sz w:val="16"/>
          <w:szCs w:val="16"/>
        </w:rPr>
        <w:t xml:space="preserve"> </w:t>
      </w:r>
      <w:r>
        <w:rPr>
          <w:rStyle w:val="None"/>
          <w:i/>
          <w:iCs/>
          <w:sz w:val="16"/>
          <w:szCs w:val="16"/>
          <w:lang w:val="fr-FR"/>
        </w:rPr>
        <w:t>Transformation</w:t>
      </w:r>
      <w:r>
        <w:rPr>
          <w:rStyle w:val="None"/>
          <w:i/>
          <w:iCs/>
          <w:sz w:val="16"/>
          <w:szCs w:val="16"/>
        </w:rPr>
        <w:t>.</w:t>
      </w:r>
    </w:p>
  </w:footnote>
  <w:footnote w:id="48">
    <w:p w:rsidR="00442435" w:rsidRDefault="00442435">
      <w:pPr>
        <w:pStyle w:val="BodyA"/>
      </w:pPr>
      <w:r>
        <w:rPr>
          <w:rStyle w:val="None"/>
          <w:vertAlign w:val="superscript"/>
        </w:rPr>
        <w:footnoteRef/>
      </w:r>
      <w:r>
        <w:t xml:space="preserve"> </w:t>
      </w:r>
      <w:r>
        <w:rPr>
          <w:rStyle w:val="None"/>
          <w:i/>
          <w:iCs/>
          <w:sz w:val="16"/>
          <w:szCs w:val="16"/>
        </w:rPr>
        <w:t>UN Women (2016): Gender Dimensions of Vulnerability to Climate Change in China.</w:t>
      </w:r>
    </w:p>
  </w:footnote>
  <w:footnote w:id="49">
    <w:p w:rsidR="00442435" w:rsidRDefault="00442435">
      <w:pPr>
        <w:pStyle w:val="BodyA"/>
      </w:pPr>
      <w:r>
        <w:rPr>
          <w:rStyle w:val="None"/>
          <w:vertAlign w:val="superscript"/>
        </w:rPr>
        <w:footnoteRef/>
      </w:r>
      <w:r>
        <w:rPr>
          <w:rStyle w:val="None"/>
        </w:rPr>
        <w:t xml:space="preserve"> </w:t>
      </w:r>
      <w:r>
        <w:rPr>
          <w:rStyle w:val="None"/>
          <w:i/>
          <w:iCs/>
          <w:sz w:val="16"/>
          <w:szCs w:val="16"/>
          <w:lang w:val="de-DE"/>
        </w:rPr>
        <w:t>Jingzhong Ye , Huifang Wu, Jing Rao, Baoyin Ding &amp; Keyun Zhang (2016)</w:t>
      </w:r>
      <w:r>
        <w:rPr>
          <w:rStyle w:val="None"/>
          <w:i/>
          <w:iCs/>
          <w:sz w:val="16"/>
          <w:szCs w:val="16"/>
        </w:rPr>
        <w:t xml:space="preserve"> Left-behind women: gender exclusion and inequality in rural-urban migration in China, The Journal of Peasant Studies, 43:4, 910-941, DOI: 10.1080/03066150.2016.1157584</w:t>
      </w:r>
    </w:p>
  </w:footnote>
  <w:footnote w:id="50">
    <w:p w:rsidR="00442435" w:rsidRDefault="00442435">
      <w:pPr>
        <w:pStyle w:val="Default"/>
      </w:pPr>
      <w:r>
        <w:rPr>
          <w:rStyle w:val="None"/>
          <w:vertAlign w:val="superscript"/>
        </w:rPr>
        <w:footnoteRef/>
      </w:r>
      <w:r>
        <w:rPr>
          <w:rFonts w:eastAsia="Arial Unicode MS" w:cs="Arial Unicode MS"/>
        </w:rPr>
        <w:t xml:space="preserve"> </w:t>
      </w:r>
      <w:r>
        <w:rPr>
          <w:rStyle w:val="None"/>
          <w:rFonts w:ascii="Calibri" w:eastAsia="Calibri" w:hAnsi="Calibri" w:cs="Calibri"/>
          <w:i/>
          <w:iCs/>
          <w:sz w:val="16"/>
          <w:szCs w:val="16"/>
        </w:rPr>
        <w:t>ILO &amp; ADB (2017): Gender Equality and the Labor Market Women, Work, and Migration in the Peoples Republic of China.</w:t>
      </w:r>
    </w:p>
  </w:footnote>
  <w:footnote w:id="51">
    <w:p w:rsidR="00442435" w:rsidRDefault="00442435">
      <w:pPr>
        <w:pStyle w:val="BodyA"/>
      </w:pPr>
      <w:r>
        <w:rPr>
          <w:rStyle w:val="None"/>
          <w:vertAlign w:val="superscript"/>
        </w:rPr>
        <w:footnoteRef/>
      </w:r>
      <w:r>
        <w:t xml:space="preserve"> </w:t>
      </w:r>
      <w:r>
        <w:rPr>
          <w:rStyle w:val="None"/>
          <w:i/>
          <w:iCs/>
          <w:sz w:val="16"/>
          <w:szCs w:val="16"/>
        </w:rPr>
        <w:t>ADB (2016): Transforming Partnership: People’s Republic of China and Asian Development Bank, 2016–2020.</w:t>
      </w:r>
    </w:p>
  </w:footnote>
  <w:footnote w:id="52">
    <w:p w:rsidR="00442435" w:rsidRDefault="00442435">
      <w:pPr>
        <w:pStyle w:val="Default"/>
      </w:pPr>
      <w:r>
        <w:rPr>
          <w:rStyle w:val="None"/>
          <w:vertAlign w:val="superscript"/>
        </w:rPr>
        <w:footnoteRef/>
      </w:r>
      <w:r>
        <w:rPr>
          <w:rFonts w:eastAsia="Arial Unicode MS" w:cs="Arial Unicode MS"/>
        </w:rPr>
        <w:t xml:space="preserve"> </w:t>
      </w:r>
      <w:r>
        <w:rPr>
          <w:rStyle w:val="None"/>
          <w:rFonts w:ascii="Calibri" w:eastAsia="Calibri" w:hAnsi="Calibri" w:cs="Calibri"/>
          <w:i/>
          <w:iCs/>
          <w:sz w:val="16"/>
          <w:szCs w:val="16"/>
        </w:rPr>
        <w:t>ILO &amp; ADB (2017): Gender Equality and the Labor Market Women, Work, and Migration in the Peoples Republic of China.</w:t>
      </w:r>
    </w:p>
  </w:footnote>
  <w:footnote w:id="53">
    <w:p w:rsidR="00442435" w:rsidRDefault="00442435">
      <w:pPr>
        <w:pStyle w:val="BodyA"/>
      </w:pPr>
      <w:r>
        <w:rPr>
          <w:rStyle w:val="None"/>
          <w:vertAlign w:val="superscript"/>
        </w:rPr>
        <w:footnoteRef/>
      </w:r>
      <w:r>
        <w:rPr>
          <w:rStyle w:val="None"/>
        </w:rPr>
        <w:t xml:space="preserve"> </w:t>
      </w:r>
      <w:r>
        <w:rPr>
          <w:rStyle w:val="None"/>
          <w:i/>
          <w:iCs/>
          <w:sz w:val="16"/>
          <w:szCs w:val="16"/>
          <w:lang w:val="fr-FR"/>
        </w:rPr>
        <w:t xml:space="preserve">Jean Pierre </w:t>
      </w:r>
      <w:r>
        <w:rPr>
          <w:rStyle w:val="None"/>
          <w:i/>
          <w:iCs/>
          <w:sz w:val="16"/>
          <w:szCs w:val="16"/>
        </w:rPr>
        <w:t>&amp; Miahouakana Matondo (2012) Gender Issues in Agriculture and Rural Employment in Wenchuan: The Place of Women, International Journal of Humanities and Social Science Vol. 2 No. 18, 22-28</w:t>
      </w:r>
    </w:p>
  </w:footnote>
  <w:footnote w:id="54">
    <w:p w:rsidR="00442435" w:rsidRDefault="00442435">
      <w:pPr>
        <w:pStyle w:val="BodyA"/>
      </w:pPr>
      <w:r>
        <w:rPr>
          <w:rStyle w:val="None"/>
          <w:vertAlign w:val="superscript"/>
        </w:rPr>
        <w:footnoteRef/>
      </w:r>
      <w:r>
        <w:rPr>
          <w:rStyle w:val="None"/>
        </w:rPr>
        <w:t xml:space="preserve"> </w:t>
      </w:r>
      <w:r>
        <w:rPr>
          <w:rStyle w:val="None"/>
          <w:i/>
          <w:iCs/>
          <w:sz w:val="16"/>
          <w:szCs w:val="16"/>
          <w:lang w:val="de-DE"/>
        </w:rPr>
        <w:t>Jingzhong Ye , Huifang Wu, Jing Rao, Baoyin Ding &amp; Keyun Zhang (2016)</w:t>
      </w:r>
      <w:r>
        <w:rPr>
          <w:rStyle w:val="None"/>
          <w:i/>
          <w:iCs/>
          <w:sz w:val="16"/>
          <w:szCs w:val="16"/>
        </w:rPr>
        <w:t xml:space="preserve"> Left-behind women: gender exclusion and inequality in rural-urban migration in China, The Journal of Peasant Studies, 43:4, 910-941, DOI: 10.1080/03066150.2016.1157584</w:t>
      </w:r>
    </w:p>
  </w:footnote>
  <w:footnote w:id="55">
    <w:p w:rsidR="00442435" w:rsidRDefault="00442435">
      <w:pPr>
        <w:pStyle w:val="BodyA"/>
      </w:pPr>
      <w:r>
        <w:rPr>
          <w:rStyle w:val="None"/>
          <w:vertAlign w:val="superscript"/>
        </w:rPr>
        <w:footnoteRef/>
      </w:r>
      <w:r>
        <w:t xml:space="preserve"> </w:t>
      </w:r>
      <w:r>
        <w:rPr>
          <w:rStyle w:val="None"/>
          <w:i/>
          <w:iCs/>
          <w:kern w:val="36"/>
          <w:sz w:val="16"/>
          <w:szCs w:val="16"/>
        </w:rPr>
        <w:t xml:space="preserve">PRC State Council (2015): White Paper - Gender Equality and Development in China. </w:t>
      </w:r>
    </w:p>
  </w:footnote>
  <w:footnote w:id="56">
    <w:p w:rsidR="00442435" w:rsidRDefault="00442435">
      <w:pPr>
        <w:pStyle w:val="BodyA"/>
      </w:pPr>
      <w:r>
        <w:rPr>
          <w:rStyle w:val="None"/>
          <w:vertAlign w:val="superscript"/>
        </w:rPr>
        <w:footnoteRef/>
      </w:r>
      <w:r>
        <w:rPr>
          <w:rStyle w:val="None"/>
        </w:rPr>
        <w:t xml:space="preserve"> </w:t>
      </w:r>
      <w:r>
        <w:rPr>
          <w:rStyle w:val="None"/>
          <w:i/>
          <w:iCs/>
          <w:sz w:val="16"/>
          <w:szCs w:val="16"/>
          <w:lang w:val="de-DE"/>
        </w:rPr>
        <w:t>Jingzhong Ye , Huifang Wu, Jing Rao, Baoyin Ding &amp; Keyun Zhang (2016)</w:t>
      </w:r>
      <w:r>
        <w:rPr>
          <w:rStyle w:val="None"/>
          <w:i/>
          <w:iCs/>
          <w:sz w:val="16"/>
          <w:szCs w:val="16"/>
        </w:rPr>
        <w:t xml:space="preserve"> Left-behind women: gender exclusion and inequality in rural-urban migration in China, The Journal of Peasant Studies, 43:4, 910-941, DOI: 10.1080/03066150.2016.1157584</w:t>
      </w:r>
    </w:p>
  </w:footnote>
  <w:footnote w:id="57">
    <w:p w:rsidR="00442435" w:rsidRDefault="00442435">
      <w:pPr>
        <w:pStyle w:val="BodyA"/>
      </w:pPr>
      <w:r>
        <w:rPr>
          <w:rStyle w:val="None"/>
          <w:vertAlign w:val="superscript"/>
        </w:rPr>
        <w:footnoteRef/>
      </w:r>
      <w:r>
        <w:t xml:space="preserve"> </w:t>
      </w:r>
      <w:r>
        <w:rPr>
          <w:rStyle w:val="None"/>
          <w:sz w:val="16"/>
          <w:szCs w:val="16"/>
        </w:rPr>
        <w:t>Ibid.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2435" w:rsidRDefault="00442435">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C1F57EB"/>
    <w:multiLevelType w:val="hybridMultilevel"/>
    <w:tmpl w:val="949475E8"/>
    <w:numStyleLink w:val="ImportedStyle1"/>
  </w:abstractNum>
  <w:abstractNum w:abstractNumId="1" w15:restartNumberingAfterBreak="0">
    <w:nsid w:val="738210C3"/>
    <w:multiLevelType w:val="hybridMultilevel"/>
    <w:tmpl w:val="949475E8"/>
    <w:styleLink w:val="ImportedStyle1"/>
    <w:lvl w:ilvl="0" w:tplc="A75C2000">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05E0A9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E922FA6">
      <w:start w:val="1"/>
      <w:numFmt w:val="lowerRoman"/>
      <w:lvlText w:val="%3."/>
      <w:lvlJc w:val="left"/>
      <w:pPr>
        <w:ind w:left="2160" w:hanging="285"/>
      </w:pPr>
      <w:rPr>
        <w:rFonts w:hAnsi="Arial Unicode MS"/>
        <w:caps w:val="0"/>
        <w:smallCaps w:val="0"/>
        <w:strike w:val="0"/>
        <w:dstrike w:val="0"/>
        <w:outline w:val="0"/>
        <w:emboss w:val="0"/>
        <w:imprint w:val="0"/>
        <w:spacing w:val="0"/>
        <w:w w:val="100"/>
        <w:kern w:val="0"/>
        <w:position w:val="0"/>
        <w:highlight w:val="none"/>
        <w:vertAlign w:val="baseline"/>
      </w:rPr>
    </w:lvl>
    <w:lvl w:ilvl="3" w:tplc="5364ABAA">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43022A40">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3070C300">
      <w:start w:val="1"/>
      <w:numFmt w:val="lowerRoman"/>
      <w:lvlText w:val="%6."/>
      <w:lvlJc w:val="left"/>
      <w:pPr>
        <w:ind w:left="4320"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507AD8B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FD7E6324">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B720C698">
      <w:start w:val="1"/>
      <w:numFmt w:val="lowerRoman"/>
      <w:lvlText w:val="%9."/>
      <w:lvlJc w:val="left"/>
      <w:pPr>
        <w:ind w:left="6480" w:hanging="285"/>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0"/>
    <w:lvlOverride w:ilvl="0">
      <w:lvl w:ilvl="0" w:tplc="84A63BC6">
        <w:start w:val="1"/>
        <w:numFmt w:val="decimal"/>
        <w:lvlText w:val="%1."/>
        <w:lvlJc w:val="left"/>
        <w:pPr>
          <w:tabs>
            <w:tab w:val="left" w:pos="3960"/>
          </w:tabs>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6A06C394">
        <w:start w:val="1"/>
        <w:numFmt w:val="lowerLetter"/>
        <w:lvlText w:val="%2."/>
        <w:lvlJc w:val="left"/>
        <w:pPr>
          <w:tabs>
            <w:tab w:val="left" w:pos="3960"/>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82F68DDC">
        <w:start w:val="1"/>
        <w:numFmt w:val="lowerRoman"/>
        <w:lvlText w:val="%3."/>
        <w:lvlJc w:val="left"/>
        <w:pPr>
          <w:tabs>
            <w:tab w:val="left" w:pos="3960"/>
          </w:tabs>
          <w:ind w:left="2160" w:hanging="28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B7EA3FE6">
        <w:start w:val="1"/>
        <w:numFmt w:val="decimal"/>
        <w:lvlText w:val="%4."/>
        <w:lvlJc w:val="left"/>
        <w:pPr>
          <w:tabs>
            <w:tab w:val="left" w:pos="3960"/>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D9BC81AE">
        <w:start w:val="1"/>
        <w:numFmt w:val="lowerLetter"/>
        <w:lvlText w:val="%5."/>
        <w:lvlJc w:val="left"/>
        <w:pPr>
          <w:tabs>
            <w:tab w:val="left" w:pos="3960"/>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68064D7E">
        <w:start w:val="1"/>
        <w:numFmt w:val="lowerRoman"/>
        <w:lvlText w:val="%6."/>
        <w:lvlJc w:val="left"/>
        <w:pPr>
          <w:tabs>
            <w:tab w:val="left" w:pos="3960"/>
          </w:tabs>
          <w:ind w:left="4320" w:hanging="28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2F84631C">
        <w:start w:val="1"/>
        <w:numFmt w:val="decimal"/>
        <w:lvlText w:val="%7."/>
        <w:lvlJc w:val="left"/>
        <w:pPr>
          <w:tabs>
            <w:tab w:val="left" w:pos="3960"/>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92289BCA">
        <w:start w:val="1"/>
        <w:numFmt w:val="lowerLetter"/>
        <w:lvlText w:val="%8."/>
        <w:lvlJc w:val="left"/>
        <w:pPr>
          <w:tabs>
            <w:tab w:val="left" w:pos="3960"/>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1F9E510A">
        <w:start w:val="1"/>
        <w:numFmt w:val="lowerRoman"/>
        <w:lvlText w:val="%9."/>
        <w:lvlJc w:val="left"/>
        <w:pPr>
          <w:tabs>
            <w:tab w:val="left" w:pos="3960"/>
          </w:tabs>
          <w:ind w:left="6480" w:hanging="285"/>
        </w:pPr>
        <w:rPr>
          <w:rFonts w:hAnsi="Arial Unicode MS"/>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revisionView w:inkAnnotations="0"/>
  <w:defaultTabStop w:val="720"/>
  <w:characterSpacingControl w:val="doNotCompress"/>
  <w:savePreviewPicture/>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5975"/>
    <w:rsid w:val="00250244"/>
    <w:rsid w:val="002F68F5"/>
    <w:rsid w:val="00442435"/>
    <w:rsid w:val="004622D6"/>
    <w:rsid w:val="004B4F83"/>
    <w:rsid w:val="0054378A"/>
    <w:rsid w:val="006249B7"/>
    <w:rsid w:val="00861634"/>
    <w:rsid w:val="008B2ED3"/>
    <w:rsid w:val="00A73282"/>
    <w:rsid w:val="00C94FEE"/>
    <w:rsid w:val="00CE2545"/>
    <w:rsid w:val="00D75975"/>
    <w:rsid w:val="00E066ED"/>
    <w:rsid w:val="00F668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5370833-4FA4-4DBE-8A7C-7A5E5A0F8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Footer">
    <w:name w:val="footer"/>
    <w:pPr>
      <w:tabs>
        <w:tab w:val="center" w:pos="4513"/>
        <w:tab w:val="right" w:pos="9026"/>
      </w:tabs>
    </w:pPr>
    <w:rPr>
      <w:rFonts w:ascii="Calibri" w:eastAsia="Calibri" w:hAnsi="Calibri" w:cs="Calibri"/>
      <w:color w:val="000000"/>
      <w:sz w:val="22"/>
      <w:szCs w:val="22"/>
      <w:u w:color="000000"/>
    </w:rPr>
  </w:style>
  <w:style w:type="paragraph" w:customStyle="1" w:styleId="Body">
    <w:name w:val="Body"/>
    <w:rPr>
      <w:rFonts w:cs="Arial Unicode MS"/>
      <w:color w:val="000000"/>
      <w:sz w:val="24"/>
      <w:szCs w:val="24"/>
      <w:u w:color="000000"/>
    </w:rPr>
  </w:style>
  <w:style w:type="paragraph" w:styleId="ListParagraph">
    <w:name w:val="List Paragraph"/>
    <w:pPr>
      <w:ind w:left="720"/>
    </w:pPr>
    <w:rPr>
      <w:rFonts w:cs="Arial Unicode MS"/>
      <w:color w:val="000000"/>
      <w:sz w:val="24"/>
      <w:szCs w:val="24"/>
      <w:u w:color="000000"/>
    </w:rPr>
  </w:style>
  <w:style w:type="numbering" w:customStyle="1" w:styleId="ImportedStyle1">
    <w:name w:val="Imported Style 1"/>
    <w:pPr>
      <w:numPr>
        <w:numId w:val="1"/>
      </w:numPr>
    </w:pPr>
  </w:style>
  <w:style w:type="paragraph" w:customStyle="1" w:styleId="BodyA">
    <w:name w:val="Body A"/>
    <w:rPr>
      <w:rFonts w:ascii="Calibri" w:eastAsia="Calibri" w:hAnsi="Calibri" w:cs="Calibri"/>
      <w:color w:val="000000"/>
      <w:sz w:val="22"/>
      <w:szCs w:val="22"/>
      <w:u w:color="000000"/>
    </w:rPr>
  </w:style>
  <w:style w:type="character" w:customStyle="1" w:styleId="None">
    <w:name w:val="None"/>
  </w:style>
  <w:style w:type="character" w:customStyle="1" w:styleId="Hyperlink0">
    <w:name w:val="Hyperlink.0"/>
    <w:basedOn w:val="None"/>
    <w:rPr>
      <w:rFonts w:ascii="Calibri" w:eastAsia="Calibri" w:hAnsi="Calibri" w:cs="Calibri"/>
      <w:i/>
      <w:iCs/>
      <w:color w:val="0563C1"/>
      <w:sz w:val="16"/>
      <w:szCs w:val="16"/>
      <w:u w:val="single" w:color="0563C1"/>
    </w:rPr>
  </w:style>
  <w:style w:type="paragraph" w:styleId="NormalWeb">
    <w:name w:val="Normal (Web)"/>
    <w:pPr>
      <w:spacing w:before="100" w:after="100"/>
    </w:pPr>
    <w:rPr>
      <w:rFonts w:eastAsia="Times New Roman"/>
      <w:color w:val="000000"/>
      <w:sz w:val="24"/>
      <w:szCs w:val="24"/>
      <w:u w:color="000000"/>
    </w:rPr>
  </w:style>
  <w:style w:type="paragraph" w:customStyle="1" w:styleId="Default">
    <w:name w:val="Default"/>
    <w:rPr>
      <w:rFonts w:ascii="Arial" w:eastAsia="Arial" w:hAnsi="Arial" w:cs="Arial"/>
      <w:color w:val="000000"/>
      <w:sz w:val="24"/>
      <w:szCs w:val="24"/>
      <w:u w:color="000000"/>
    </w:rPr>
  </w:style>
  <w:style w:type="paragraph" w:styleId="FootnoteText">
    <w:name w:val="footnote text"/>
    <w:rPr>
      <w:rFonts w:ascii="Calibri" w:eastAsia="Calibri" w:hAnsi="Calibri" w:cs="Calibri"/>
      <w:color w:val="000000"/>
      <w:u w:color="000000"/>
    </w:rPr>
  </w:style>
  <w:style w:type="character" w:customStyle="1" w:styleId="Hyperlink1">
    <w:name w:val="Hyperlink.1"/>
    <w:basedOn w:val="None"/>
    <w:rPr>
      <w:u w:color="000000"/>
      <w:lang w:val="en-US"/>
    </w:rPr>
  </w:style>
  <w:style w:type="character" w:customStyle="1" w:styleId="Hyperlink2">
    <w:name w:val="Hyperlink.2"/>
    <w:basedOn w:val="None"/>
    <w:rPr>
      <w:u w:color="000000"/>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760630">
      <w:bodyDiv w:val="1"/>
      <w:marLeft w:val="0"/>
      <w:marRight w:val="0"/>
      <w:marTop w:val="0"/>
      <w:marBottom w:val="0"/>
      <w:divBdr>
        <w:top w:val="none" w:sz="0" w:space="0" w:color="auto"/>
        <w:left w:val="none" w:sz="0" w:space="0" w:color="auto"/>
        <w:bottom w:val="none" w:sz="0" w:space="0" w:color="auto"/>
        <w:right w:val="none" w:sz="0" w:space="0" w:color="auto"/>
      </w:divBdr>
    </w:div>
    <w:div w:id="17366646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inahumanrights.org/Harmonioussociety/Economic/index.htm" TargetMode="External"/><Relationship Id="rId13" Type="http://schemas.openxmlformats.org/officeDocument/2006/relationships/chart" Target="charts/chart1.xm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customXml" Target="../customXml/item1.xml"/><Relationship Id="rId7" Type="http://schemas.openxmlformats.org/officeDocument/2006/relationships/hyperlink" Target="http://www.chinahumanrights.org/Harmonioussociety/Health/index.htm" TargetMode="External"/><Relationship Id="rId12" Type="http://schemas.openxmlformats.org/officeDocument/2006/relationships/hyperlink" Target="http://www.chinahumanrights.org/lal/index.htm"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chart" Target="charts/chart4.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hinahumanrights.org/Harmonioussociety/Environment/index.htm" TargetMode="External"/><Relationship Id="rId5" Type="http://schemas.openxmlformats.org/officeDocument/2006/relationships/footnotes" Target="footnotes.xml"/><Relationship Id="rId15" Type="http://schemas.openxmlformats.org/officeDocument/2006/relationships/chart" Target="charts/chart3.xml"/><Relationship Id="rId23" Type="http://schemas.openxmlformats.org/officeDocument/2006/relationships/customXml" Target="../customXml/item3.xml"/><Relationship Id="rId10" Type="http://schemas.openxmlformats.org/officeDocument/2006/relationships/hyperlink" Target="http://www.humanrights.cn/en/Harmonioussociety/Security/index.ht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chinahumanrights.org/Harmonioussociety/Civil/index.htm" TargetMode="External"/><Relationship Id="rId14" Type="http://schemas.openxmlformats.org/officeDocument/2006/relationships/chart" Target="charts/chart2.xml"/><Relationship Id="rId22"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2" Type="http://schemas.openxmlformats.org/officeDocument/2006/relationships/hyperlink" Target="https://www.cecc.gov/resources/legal-provisions/protection-of-womens-rights-and-interests-law-of-the-peoples-republic-of" TargetMode="External"/><Relationship Id="rId1" Type="http://schemas.openxmlformats.org/officeDocument/2006/relationships/hyperlink" Target="http://m.womenofchina.cn/womenofchina/xhtml1/source/1502/998-1.htm"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US"/>
  <c:roundedCorners val="0"/>
  <c:style val="2"/>
  <c:chart>
    <c:autoTitleDeleted val="1"/>
    <c:plotArea>
      <c:layout>
        <c:manualLayout>
          <c:layoutTarget val="inner"/>
          <c:xMode val="edge"/>
          <c:yMode val="edge"/>
          <c:x val="6.0576699999999997E-2"/>
          <c:y val="9.7242700000000001E-2"/>
          <c:w val="0.934423"/>
          <c:h val="0.58774000000000004"/>
        </c:manualLayout>
      </c:layout>
      <c:barChart>
        <c:barDir val="col"/>
        <c:grouping val="clustered"/>
        <c:varyColors val="0"/>
        <c:ser>
          <c:idx val="0"/>
          <c:order val="0"/>
          <c:tx>
            <c:strRef>
              <c:f>Sheet1!$B$1</c:f>
              <c:strCache>
                <c:ptCount val="1"/>
                <c:pt idx="0">
                  <c:v>Longfei</c:v>
                </c:pt>
              </c:strCache>
            </c:strRef>
          </c:tx>
          <c:spPr>
            <a:solidFill>
              <a:srgbClr val="4F81BD"/>
            </a:solidFill>
            <a:ln w="12700" cap="flat">
              <a:noFill/>
              <a:miter lim="400000"/>
            </a:ln>
            <a:effectLst/>
          </c:spPr>
          <c:invertIfNegative val="0"/>
          <c:cat>
            <c:strRef>
              <c:f>Sheet1!$A$2:$A$7</c:f>
              <c:strCache>
                <c:ptCount val="6"/>
                <c:pt idx="0">
                  <c:v>Primary school or below (F)</c:v>
                </c:pt>
                <c:pt idx="1">
                  <c:v>Primary school or below (M)</c:v>
                </c:pt>
                <c:pt idx="2">
                  <c:v>Junior high school (F)</c:v>
                </c:pt>
                <c:pt idx="3">
                  <c:v>Junior high school (M)</c:v>
                </c:pt>
                <c:pt idx="4">
                  <c:v>High school or above (F)</c:v>
                </c:pt>
                <c:pt idx="5">
                  <c:v>High school or above (M)</c:v>
                </c:pt>
              </c:strCache>
            </c:strRef>
          </c:cat>
          <c:val>
            <c:numRef>
              <c:f>Sheet1!$B$2:$B$7</c:f>
              <c:numCache>
                <c:formatCode>General</c:formatCode>
                <c:ptCount val="6"/>
                <c:pt idx="0">
                  <c:v>0.5</c:v>
                </c:pt>
                <c:pt idx="1">
                  <c:v>0.5</c:v>
                </c:pt>
                <c:pt idx="2">
                  <c:v>0.4</c:v>
                </c:pt>
                <c:pt idx="3">
                  <c:v>0.4</c:v>
                </c:pt>
                <c:pt idx="4">
                  <c:v>0.1</c:v>
                </c:pt>
                <c:pt idx="5">
                  <c:v>0.1</c:v>
                </c:pt>
              </c:numCache>
            </c:numRef>
          </c:val>
          <c:extLst>
            <c:ext xmlns:c16="http://schemas.microsoft.com/office/drawing/2014/chart" uri="{C3380CC4-5D6E-409C-BE32-E72D297353CC}">
              <c16:uniqueId val="{00000000-8C14-4D66-BDD9-B3218BF4735F}"/>
            </c:ext>
          </c:extLst>
        </c:ser>
        <c:ser>
          <c:idx val="1"/>
          <c:order val="1"/>
          <c:tx>
            <c:strRef>
              <c:f>Sheet1!$C$1</c:f>
              <c:strCache>
                <c:ptCount val="1"/>
                <c:pt idx="0">
                  <c:v>Chongqing</c:v>
                </c:pt>
              </c:strCache>
            </c:strRef>
          </c:tx>
          <c:spPr>
            <a:solidFill>
              <a:srgbClr val="C0504D"/>
            </a:solidFill>
            <a:ln w="12700" cap="flat">
              <a:noFill/>
              <a:miter lim="400000"/>
            </a:ln>
            <a:effectLst/>
          </c:spPr>
          <c:invertIfNegative val="0"/>
          <c:cat>
            <c:strRef>
              <c:f>Sheet1!$A$2:$A$7</c:f>
              <c:strCache>
                <c:ptCount val="6"/>
                <c:pt idx="0">
                  <c:v>Primary school or below (F)</c:v>
                </c:pt>
                <c:pt idx="1">
                  <c:v>Primary school or below (M)</c:v>
                </c:pt>
                <c:pt idx="2">
                  <c:v>Junior high school (F)</c:v>
                </c:pt>
                <c:pt idx="3">
                  <c:v>Junior high school (M)</c:v>
                </c:pt>
                <c:pt idx="4">
                  <c:v>High school or above (F)</c:v>
                </c:pt>
                <c:pt idx="5">
                  <c:v>High school or above (M)</c:v>
                </c:pt>
              </c:strCache>
            </c:strRef>
          </c:cat>
          <c:val>
            <c:numRef>
              <c:f>Sheet1!$C$2:$C$7</c:f>
              <c:numCache>
                <c:formatCode>General</c:formatCode>
                <c:ptCount val="6"/>
                <c:pt idx="0">
                  <c:v>0.4597</c:v>
                </c:pt>
                <c:pt idx="1">
                  <c:v>0.34389999999999998</c:v>
                </c:pt>
                <c:pt idx="2">
                  <c:v>0.30430000000000001</c:v>
                </c:pt>
                <c:pt idx="3">
                  <c:v>0.33</c:v>
                </c:pt>
                <c:pt idx="4">
                  <c:v>0.28599999999999998</c:v>
                </c:pt>
                <c:pt idx="5">
                  <c:v>0.3261</c:v>
                </c:pt>
              </c:numCache>
            </c:numRef>
          </c:val>
          <c:extLst>
            <c:ext xmlns:c16="http://schemas.microsoft.com/office/drawing/2014/chart" uri="{C3380CC4-5D6E-409C-BE32-E72D297353CC}">
              <c16:uniqueId val="{00000001-8C14-4D66-BDD9-B3218BF4735F}"/>
            </c:ext>
          </c:extLst>
        </c:ser>
        <c:dLbls>
          <c:showLegendKey val="0"/>
          <c:showVal val="0"/>
          <c:showCatName val="0"/>
          <c:showSerName val="0"/>
          <c:showPercent val="0"/>
          <c:showBubbleSize val="0"/>
        </c:dLbls>
        <c:gapWidth val="219"/>
        <c:overlap val="-27"/>
        <c:axId val="2094734552"/>
        <c:axId val="2094734553"/>
      </c:barChart>
      <c:catAx>
        <c:axId val="2094734552"/>
        <c:scaling>
          <c:orientation val="minMax"/>
        </c:scaling>
        <c:delete val="0"/>
        <c:axPos val="b"/>
        <c:numFmt formatCode="General" sourceLinked="0"/>
        <c:majorTickMark val="none"/>
        <c:minorTickMark val="none"/>
        <c:tickLblPos val="low"/>
        <c:spPr>
          <a:ln w="12700" cap="flat">
            <a:solidFill>
              <a:srgbClr val="D9D9D9"/>
            </a:solidFill>
            <a:prstDash val="solid"/>
            <a:round/>
          </a:ln>
        </c:spPr>
        <c:txPr>
          <a:bodyPr rot="0"/>
          <a:lstStyle/>
          <a:p>
            <a:pPr>
              <a:defRPr sz="900" b="1" i="0" u="none" strike="noStrike">
                <a:solidFill>
                  <a:srgbClr val="000000"/>
                </a:solidFill>
                <a:latin typeface="Calibri"/>
              </a:defRPr>
            </a:pPr>
            <a:endParaRPr lang="en-US"/>
          </a:p>
        </c:txPr>
        <c:crossAx val="2094734553"/>
        <c:crosses val="autoZero"/>
        <c:auto val="1"/>
        <c:lblAlgn val="ctr"/>
        <c:lblOffset val="100"/>
        <c:noMultiLvlLbl val="1"/>
      </c:catAx>
      <c:valAx>
        <c:axId val="2094734553"/>
        <c:scaling>
          <c:orientation val="minMax"/>
        </c:scaling>
        <c:delete val="0"/>
        <c:axPos val="l"/>
        <c:majorGridlines>
          <c:spPr>
            <a:ln w="12700" cap="flat">
              <a:solidFill>
                <a:srgbClr val="D9D9D9"/>
              </a:solidFill>
              <a:prstDash val="solid"/>
              <a:round/>
            </a:ln>
          </c:spPr>
        </c:majorGridlines>
        <c:numFmt formatCode="0%" sourceLinked="0"/>
        <c:majorTickMark val="none"/>
        <c:minorTickMark val="none"/>
        <c:tickLblPos val="nextTo"/>
        <c:spPr>
          <a:ln w="12700" cap="flat">
            <a:noFill/>
            <a:prstDash val="solid"/>
            <a:round/>
          </a:ln>
        </c:spPr>
        <c:txPr>
          <a:bodyPr rot="0"/>
          <a:lstStyle/>
          <a:p>
            <a:pPr>
              <a:defRPr sz="900" b="1" i="0" u="none" strike="noStrike">
                <a:solidFill>
                  <a:srgbClr val="000000"/>
                </a:solidFill>
                <a:latin typeface="Calibri"/>
              </a:defRPr>
            </a:pPr>
            <a:endParaRPr lang="en-US"/>
          </a:p>
        </c:txPr>
        <c:crossAx val="2094734552"/>
        <c:crosses val="autoZero"/>
        <c:crossBetween val="between"/>
        <c:majorUnit val="0.125"/>
        <c:minorUnit val="6.25E-2"/>
      </c:valAx>
      <c:spPr>
        <a:noFill/>
        <a:ln w="12700" cap="flat">
          <a:noFill/>
          <a:miter lim="400000"/>
        </a:ln>
        <a:effectLst/>
      </c:spPr>
    </c:plotArea>
    <c:legend>
      <c:legendPos val="b"/>
      <c:layout>
        <c:manualLayout>
          <c:xMode val="edge"/>
          <c:yMode val="edge"/>
          <c:x val="0.35205500000000001"/>
          <c:y val="0.89025699999999997"/>
          <c:w val="0.32764900000000002"/>
          <c:h val="0.10974299999999999"/>
        </c:manualLayout>
      </c:layout>
      <c:overlay val="1"/>
      <c:spPr>
        <a:noFill/>
        <a:ln w="12700" cap="flat">
          <a:noFill/>
          <a:miter lim="400000"/>
        </a:ln>
        <a:effectLst/>
      </c:spPr>
      <c:txPr>
        <a:bodyPr rot="0"/>
        <a:lstStyle/>
        <a:p>
          <a:pPr>
            <a:defRPr sz="900" b="1" i="0" u="none" strike="noStrike">
              <a:solidFill>
                <a:srgbClr val="595959"/>
              </a:solidFill>
              <a:latin typeface="Calibri"/>
            </a:defRPr>
          </a:pPr>
          <a:endParaRPr lang="en-US"/>
        </a:p>
      </c:txPr>
    </c:legend>
    <c:plotVisOnly val="1"/>
    <c:dispBlanksAs val="gap"/>
    <c:showDLblsOverMax val="1"/>
  </c:chart>
  <c:spPr>
    <a:solidFill>
      <a:srgbClr val="FFFFFF"/>
    </a:solidFill>
    <a:ln w="12700" cap="flat">
      <a:solidFill>
        <a:srgbClr val="D9D9D9"/>
      </a:solidFill>
      <a:prstDash val="solid"/>
      <a:round/>
    </a:ln>
    <a:effectLst/>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US"/>
  <c:roundedCorners val="0"/>
  <c:style val="2"/>
  <c:chart>
    <c:autoTitleDeleted val="1"/>
    <c:plotArea>
      <c:layout>
        <c:manualLayout>
          <c:layoutTarget val="inner"/>
          <c:xMode val="edge"/>
          <c:yMode val="edge"/>
          <c:x val="5.6551900000000002E-2"/>
          <c:y val="9.7196400000000002E-2"/>
          <c:w val="0.93844799999999995"/>
          <c:h val="0.53752699999999998"/>
        </c:manualLayout>
      </c:layout>
      <c:barChart>
        <c:barDir val="col"/>
        <c:grouping val="clustered"/>
        <c:varyColors val="0"/>
        <c:ser>
          <c:idx val="0"/>
          <c:order val="0"/>
          <c:tx>
            <c:strRef>
              <c:f>Sheet1!$A$2</c:f>
              <c:strCache>
                <c:ptCount val="1"/>
                <c:pt idx="0">
                  <c:v>Hainan</c:v>
                </c:pt>
              </c:strCache>
            </c:strRef>
          </c:tx>
          <c:spPr>
            <a:solidFill>
              <a:srgbClr val="4F81BD"/>
            </a:solidFill>
            <a:ln w="12700" cap="flat">
              <a:noFill/>
              <a:miter lim="400000"/>
            </a:ln>
            <a:effectLst/>
          </c:spPr>
          <c:invertIfNegative val="0"/>
          <c:cat>
            <c:strRef>
              <c:f>Sheet1!$B$1:$G$1</c:f>
              <c:strCache>
                <c:ptCount val="6"/>
                <c:pt idx="0">
                  <c:v>Primary school or below (F)</c:v>
                </c:pt>
                <c:pt idx="1">
                  <c:v>Primary school or below (M)</c:v>
                </c:pt>
                <c:pt idx="2">
                  <c:v>Junior high school (F)</c:v>
                </c:pt>
                <c:pt idx="3">
                  <c:v>Junior high school (M)</c:v>
                </c:pt>
                <c:pt idx="4">
                  <c:v>High school or above (F)</c:v>
                </c:pt>
                <c:pt idx="5">
                  <c:v>High school or above (M)</c:v>
                </c:pt>
              </c:strCache>
            </c:strRef>
          </c:cat>
          <c:val>
            <c:numRef>
              <c:f>Sheet1!$B$2:$G$2</c:f>
              <c:numCache>
                <c:formatCode>General</c:formatCode>
                <c:ptCount val="6"/>
                <c:pt idx="0">
                  <c:v>0.31490000000000001</c:v>
                </c:pt>
                <c:pt idx="1">
                  <c:v>0.20810000000000001</c:v>
                </c:pt>
                <c:pt idx="2">
                  <c:v>0.45390000000000003</c:v>
                </c:pt>
                <c:pt idx="3">
                  <c:v>0.46260000000000001</c:v>
                </c:pt>
                <c:pt idx="4">
                  <c:v>0.23119999999999999</c:v>
                </c:pt>
                <c:pt idx="5">
                  <c:v>0.3276</c:v>
                </c:pt>
              </c:numCache>
            </c:numRef>
          </c:val>
          <c:extLst>
            <c:ext xmlns:c16="http://schemas.microsoft.com/office/drawing/2014/chart" uri="{C3380CC4-5D6E-409C-BE32-E72D297353CC}">
              <c16:uniqueId val="{00000000-DDA9-4FE7-AD92-E806FFDA0051}"/>
            </c:ext>
          </c:extLst>
        </c:ser>
        <c:ser>
          <c:idx val="1"/>
          <c:order val="1"/>
          <c:tx>
            <c:strRef>
              <c:f>Sheet1!$A$3</c:f>
              <c:strCache>
                <c:ptCount val="1"/>
                <c:pt idx="0">
                  <c:v>Hulu </c:v>
                </c:pt>
              </c:strCache>
            </c:strRef>
          </c:tx>
          <c:spPr>
            <a:solidFill>
              <a:srgbClr val="C0504D"/>
            </a:solidFill>
            <a:ln w="12700" cap="flat">
              <a:noFill/>
              <a:miter lim="400000"/>
            </a:ln>
            <a:effectLst/>
          </c:spPr>
          <c:invertIfNegative val="0"/>
          <c:cat>
            <c:strRef>
              <c:f>Sheet1!$B$1:$G$1</c:f>
              <c:strCache>
                <c:ptCount val="6"/>
                <c:pt idx="0">
                  <c:v>Primary school or below (F)</c:v>
                </c:pt>
                <c:pt idx="1">
                  <c:v>Primary school or below (M)</c:v>
                </c:pt>
                <c:pt idx="2">
                  <c:v>Junior high school (F)</c:v>
                </c:pt>
                <c:pt idx="3">
                  <c:v>Junior high school (M)</c:v>
                </c:pt>
                <c:pt idx="4">
                  <c:v>High school or above (F)</c:v>
                </c:pt>
                <c:pt idx="5">
                  <c:v>High school or above (M)</c:v>
                </c:pt>
              </c:strCache>
            </c:strRef>
          </c:cat>
          <c:val>
            <c:numRef>
              <c:f>Sheet1!$B$3:$G$3</c:f>
              <c:numCache>
                <c:formatCode>General</c:formatCode>
                <c:ptCount val="6"/>
                <c:pt idx="0">
                  <c:v>0.39</c:v>
                </c:pt>
                <c:pt idx="1">
                  <c:v>0.39</c:v>
                </c:pt>
                <c:pt idx="2">
                  <c:v>0.39</c:v>
                </c:pt>
                <c:pt idx="3">
                  <c:v>0.39</c:v>
                </c:pt>
                <c:pt idx="4">
                  <c:v>0.22</c:v>
                </c:pt>
                <c:pt idx="5">
                  <c:v>0.22</c:v>
                </c:pt>
              </c:numCache>
            </c:numRef>
          </c:val>
          <c:extLst>
            <c:ext xmlns:c16="http://schemas.microsoft.com/office/drawing/2014/chart" uri="{C3380CC4-5D6E-409C-BE32-E72D297353CC}">
              <c16:uniqueId val="{00000001-DDA9-4FE7-AD92-E806FFDA0051}"/>
            </c:ext>
          </c:extLst>
        </c:ser>
        <c:dLbls>
          <c:showLegendKey val="0"/>
          <c:showVal val="0"/>
          <c:showCatName val="0"/>
          <c:showSerName val="0"/>
          <c:showPercent val="0"/>
          <c:showBubbleSize val="0"/>
        </c:dLbls>
        <c:gapWidth val="219"/>
        <c:overlap val="-27"/>
        <c:axId val="2094734552"/>
        <c:axId val="2094734553"/>
      </c:barChart>
      <c:catAx>
        <c:axId val="2094734552"/>
        <c:scaling>
          <c:orientation val="minMax"/>
        </c:scaling>
        <c:delete val="0"/>
        <c:axPos val="b"/>
        <c:numFmt formatCode="General" sourceLinked="0"/>
        <c:majorTickMark val="none"/>
        <c:minorTickMark val="none"/>
        <c:tickLblPos val="low"/>
        <c:spPr>
          <a:ln w="12700" cap="flat">
            <a:solidFill>
              <a:srgbClr val="D9D9D9"/>
            </a:solidFill>
            <a:prstDash val="solid"/>
            <a:round/>
          </a:ln>
        </c:spPr>
        <c:txPr>
          <a:bodyPr rot="0"/>
          <a:lstStyle/>
          <a:p>
            <a:pPr>
              <a:defRPr sz="900" b="0" i="0" u="none" strike="noStrike">
                <a:solidFill>
                  <a:srgbClr val="595959"/>
                </a:solidFill>
                <a:latin typeface="Calibri"/>
              </a:defRPr>
            </a:pPr>
            <a:endParaRPr lang="en-US"/>
          </a:p>
        </c:txPr>
        <c:crossAx val="2094734553"/>
        <c:crosses val="autoZero"/>
        <c:auto val="1"/>
        <c:lblAlgn val="ctr"/>
        <c:lblOffset val="100"/>
        <c:noMultiLvlLbl val="1"/>
      </c:catAx>
      <c:valAx>
        <c:axId val="2094734553"/>
        <c:scaling>
          <c:orientation val="minMax"/>
        </c:scaling>
        <c:delete val="0"/>
        <c:axPos val="l"/>
        <c:majorGridlines>
          <c:spPr>
            <a:ln w="12700" cap="flat">
              <a:solidFill>
                <a:srgbClr val="D9D9D9"/>
              </a:solidFill>
              <a:prstDash val="solid"/>
              <a:round/>
            </a:ln>
          </c:spPr>
        </c:majorGridlines>
        <c:numFmt formatCode="0%" sourceLinked="0"/>
        <c:majorTickMark val="none"/>
        <c:minorTickMark val="none"/>
        <c:tickLblPos val="nextTo"/>
        <c:spPr>
          <a:ln w="12700" cap="flat">
            <a:noFill/>
            <a:prstDash val="solid"/>
            <a:round/>
          </a:ln>
        </c:spPr>
        <c:txPr>
          <a:bodyPr rot="0"/>
          <a:lstStyle/>
          <a:p>
            <a:pPr>
              <a:defRPr sz="900" b="0" i="0" u="none" strike="noStrike">
                <a:solidFill>
                  <a:srgbClr val="595959"/>
                </a:solidFill>
                <a:latin typeface="Calibri"/>
              </a:defRPr>
            </a:pPr>
            <a:endParaRPr lang="en-US"/>
          </a:p>
        </c:txPr>
        <c:crossAx val="2094734552"/>
        <c:crosses val="autoZero"/>
        <c:crossBetween val="between"/>
        <c:majorUnit val="0.125"/>
        <c:minorUnit val="6.25E-2"/>
      </c:valAx>
      <c:spPr>
        <a:noFill/>
        <a:ln w="12700" cap="flat">
          <a:noFill/>
          <a:miter lim="400000"/>
        </a:ln>
        <a:effectLst/>
      </c:spPr>
    </c:plotArea>
    <c:legend>
      <c:legendPos val="b"/>
      <c:layout>
        <c:manualLayout>
          <c:xMode val="edge"/>
          <c:yMode val="edge"/>
          <c:x val="0.38835900000000001"/>
          <c:y val="0.89030399999999998"/>
          <c:w val="0.25536300000000001"/>
          <c:h val="0.109696"/>
        </c:manualLayout>
      </c:layout>
      <c:overlay val="1"/>
      <c:spPr>
        <a:noFill/>
        <a:ln w="12700" cap="flat">
          <a:noFill/>
          <a:miter lim="400000"/>
        </a:ln>
        <a:effectLst/>
      </c:spPr>
      <c:txPr>
        <a:bodyPr rot="0"/>
        <a:lstStyle/>
        <a:p>
          <a:pPr>
            <a:defRPr sz="900" b="0" i="0" u="none" strike="noStrike">
              <a:solidFill>
                <a:srgbClr val="595959"/>
              </a:solidFill>
              <a:latin typeface="Calibri"/>
            </a:defRPr>
          </a:pPr>
          <a:endParaRPr lang="en-US"/>
        </a:p>
      </c:txPr>
    </c:legend>
    <c:plotVisOnly val="1"/>
    <c:dispBlanksAs val="gap"/>
    <c:showDLblsOverMax val="1"/>
  </c:chart>
  <c:spPr>
    <a:solidFill>
      <a:srgbClr val="FFFFFF"/>
    </a:solidFill>
    <a:ln w="12700" cap="flat">
      <a:solidFill>
        <a:srgbClr val="D9D9D9"/>
      </a:solidFill>
      <a:prstDash val="solid"/>
      <a:round/>
    </a:ln>
    <a:effectLst/>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US"/>
  <c:roundedCorners val="0"/>
  <c:style val="2"/>
  <c:chart>
    <c:autoTitleDeleted val="1"/>
    <c:plotArea>
      <c:layout>
        <c:manualLayout>
          <c:layoutTarget val="inner"/>
          <c:xMode val="edge"/>
          <c:yMode val="edge"/>
          <c:x val="3.9503999999999997E-2"/>
          <c:y val="9.2416799999999993E-2"/>
          <c:w val="0.94946900000000001"/>
          <c:h val="0.76824000000000003"/>
        </c:manualLayout>
      </c:layout>
      <c:barChart>
        <c:barDir val="col"/>
        <c:grouping val="clustered"/>
        <c:varyColors val="0"/>
        <c:ser>
          <c:idx val="0"/>
          <c:order val="0"/>
          <c:tx>
            <c:strRef>
              <c:f>Sheet1!$B$1</c:f>
              <c:strCache>
                <c:ptCount val="1"/>
                <c:pt idx="0">
                  <c:v>Series1</c:v>
                </c:pt>
              </c:strCache>
            </c:strRef>
          </c:tx>
          <c:spPr>
            <a:solidFill>
              <a:srgbClr val="4F81BD"/>
            </a:solidFill>
            <a:ln w="12700" cap="flat">
              <a:noFill/>
              <a:miter lim="400000"/>
            </a:ln>
            <a:effectLst/>
          </c:spPr>
          <c:invertIfNegative val="0"/>
          <c:cat>
            <c:strRef>
              <c:f>Sheet1!$A$2:$A$8</c:f>
              <c:strCache>
                <c:ptCount val="7"/>
                <c:pt idx="0">
                  <c:v>Work</c:v>
                </c:pt>
                <c:pt idx="1">
                  <c:v>Cooking</c:v>
                </c:pt>
                <c:pt idx="2">
                  <c:v>Other housework</c:v>
                </c:pt>
                <c:pt idx="3">
                  <c:v>Child care</c:v>
                </c:pt>
                <c:pt idx="4">
                  <c:v>school</c:v>
                </c:pt>
                <c:pt idx="5">
                  <c:v>Leasiure time </c:v>
                </c:pt>
                <c:pt idx="6">
                  <c:v>Other activities</c:v>
                </c:pt>
              </c:strCache>
            </c:strRef>
          </c:cat>
          <c:val>
            <c:numRef>
              <c:f>Sheet1!$B$2:$B$8</c:f>
            </c:numRef>
          </c:val>
          <c:extLst>
            <c:ext xmlns:c16="http://schemas.microsoft.com/office/drawing/2014/chart" uri="{C3380CC4-5D6E-409C-BE32-E72D297353CC}">
              <c16:uniqueId val="{00000000-1E4A-4B38-8528-C604BFDE31D8}"/>
            </c:ext>
          </c:extLst>
        </c:ser>
        <c:ser>
          <c:idx val="1"/>
          <c:order val="1"/>
          <c:tx>
            <c:strRef>
              <c:f>Sheet1!$C$1</c:f>
              <c:strCache>
                <c:ptCount val="1"/>
                <c:pt idx="0">
                  <c:v>Series2</c:v>
                </c:pt>
              </c:strCache>
            </c:strRef>
          </c:tx>
          <c:spPr>
            <a:solidFill>
              <a:srgbClr val="C0504D"/>
            </a:solidFill>
            <a:ln w="12700" cap="flat">
              <a:noFill/>
              <a:miter lim="400000"/>
            </a:ln>
            <a:effectLst/>
          </c:spPr>
          <c:invertIfNegative val="0"/>
          <c:cat>
            <c:strRef>
              <c:f>Sheet1!$A$2:$A$8</c:f>
              <c:strCache>
                <c:ptCount val="7"/>
                <c:pt idx="0">
                  <c:v>Work</c:v>
                </c:pt>
                <c:pt idx="1">
                  <c:v>Cooking</c:v>
                </c:pt>
                <c:pt idx="2">
                  <c:v>Other housework</c:v>
                </c:pt>
                <c:pt idx="3">
                  <c:v>Child care</c:v>
                </c:pt>
                <c:pt idx="4">
                  <c:v>school</c:v>
                </c:pt>
                <c:pt idx="5">
                  <c:v>Leasiure time </c:v>
                </c:pt>
                <c:pt idx="6">
                  <c:v>Other activities</c:v>
                </c:pt>
              </c:strCache>
            </c:strRef>
          </c:cat>
          <c:val>
            <c:numRef>
              <c:f>Sheet1!$C$2:$C$8</c:f>
              <c:numCache>
                <c:formatCode>General</c:formatCode>
                <c:ptCount val="7"/>
                <c:pt idx="0">
                  <c:v>6</c:v>
                </c:pt>
                <c:pt idx="1">
                  <c:v>1</c:v>
                </c:pt>
                <c:pt idx="2">
                  <c:v>1</c:v>
                </c:pt>
                <c:pt idx="3">
                  <c:v>2</c:v>
                </c:pt>
                <c:pt idx="4">
                  <c:v>2</c:v>
                </c:pt>
                <c:pt idx="5">
                  <c:v>8</c:v>
                </c:pt>
                <c:pt idx="6">
                  <c:v>4</c:v>
                </c:pt>
              </c:numCache>
            </c:numRef>
          </c:val>
          <c:extLst>
            <c:ext xmlns:c16="http://schemas.microsoft.com/office/drawing/2014/chart" uri="{C3380CC4-5D6E-409C-BE32-E72D297353CC}">
              <c16:uniqueId val="{00000001-1E4A-4B38-8528-C604BFDE31D8}"/>
            </c:ext>
          </c:extLst>
        </c:ser>
        <c:dLbls>
          <c:showLegendKey val="0"/>
          <c:showVal val="0"/>
          <c:showCatName val="0"/>
          <c:showSerName val="0"/>
          <c:showPercent val="0"/>
          <c:showBubbleSize val="0"/>
        </c:dLbls>
        <c:gapWidth val="219"/>
        <c:overlap val="-27"/>
        <c:axId val="2094734552"/>
        <c:axId val="2094734553"/>
      </c:barChart>
      <c:catAx>
        <c:axId val="2094734552"/>
        <c:scaling>
          <c:orientation val="minMax"/>
        </c:scaling>
        <c:delete val="0"/>
        <c:axPos val="b"/>
        <c:numFmt formatCode="General" sourceLinked="0"/>
        <c:majorTickMark val="none"/>
        <c:minorTickMark val="none"/>
        <c:tickLblPos val="low"/>
        <c:spPr>
          <a:ln w="12700" cap="flat">
            <a:solidFill>
              <a:srgbClr val="D9D9D9"/>
            </a:solidFill>
            <a:prstDash val="solid"/>
            <a:round/>
          </a:ln>
        </c:spPr>
        <c:txPr>
          <a:bodyPr rot="0"/>
          <a:lstStyle/>
          <a:p>
            <a:pPr>
              <a:defRPr sz="900" b="0" i="0" u="none" strike="noStrike">
                <a:solidFill>
                  <a:srgbClr val="595959"/>
                </a:solidFill>
                <a:latin typeface="Calibri"/>
              </a:defRPr>
            </a:pPr>
            <a:endParaRPr lang="en-US"/>
          </a:p>
        </c:txPr>
        <c:crossAx val="2094734553"/>
        <c:crosses val="autoZero"/>
        <c:auto val="1"/>
        <c:lblAlgn val="ctr"/>
        <c:lblOffset val="100"/>
        <c:noMultiLvlLbl val="1"/>
      </c:catAx>
      <c:valAx>
        <c:axId val="2094734553"/>
        <c:scaling>
          <c:orientation val="minMax"/>
        </c:scaling>
        <c:delete val="0"/>
        <c:axPos val="l"/>
        <c:majorGridlines>
          <c:spPr>
            <a:ln w="12700" cap="flat">
              <a:solidFill>
                <a:srgbClr val="D9D9D9"/>
              </a:solidFill>
              <a:prstDash val="solid"/>
              <a:round/>
            </a:ln>
          </c:spPr>
        </c:majorGridlines>
        <c:numFmt formatCode="0" sourceLinked="0"/>
        <c:majorTickMark val="none"/>
        <c:minorTickMark val="none"/>
        <c:tickLblPos val="nextTo"/>
        <c:spPr>
          <a:ln w="12700" cap="flat">
            <a:noFill/>
            <a:prstDash val="solid"/>
            <a:round/>
          </a:ln>
        </c:spPr>
        <c:txPr>
          <a:bodyPr rot="0"/>
          <a:lstStyle/>
          <a:p>
            <a:pPr>
              <a:defRPr sz="900" b="0" i="0" u="none" strike="noStrike">
                <a:solidFill>
                  <a:srgbClr val="595959"/>
                </a:solidFill>
                <a:latin typeface="Calibri"/>
              </a:defRPr>
            </a:pPr>
            <a:endParaRPr lang="en-US"/>
          </a:p>
        </c:txPr>
        <c:crossAx val="2094734552"/>
        <c:crosses val="autoZero"/>
        <c:crossBetween val="between"/>
        <c:majorUnit val="2"/>
        <c:minorUnit val="1"/>
      </c:valAx>
      <c:spPr>
        <a:noFill/>
        <a:ln w="12700" cap="flat">
          <a:noFill/>
          <a:miter lim="400000"/>
        </a:ln>
        <a:effectLst/>
      </c:spPr>
    </c:plotArea>
    <c:plotVisOnly val="1"/>
    <c:dispBlanksAs val="gap"/>
    <c:showDLblsOverMax val="1"/>
  </c:chart>
  <c:spPr>
    <a:solidFill>
      <a:srgbClr val="FFFFFF"/>
    </a:solidFill>
    <a:ln w="12700" cap="flat">
      <a:solidFill>
        <a:srgbClr val="D9D9D9"/>
      </a:solidFill>
      <a:prstDash val="solid"/>
      <a:round/>
    </a:ln>
    <a:effectLst/>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US"/>
  <c:roundedCorners val="0"/>
  <c:style val="2"/>
  <c:chart>
    <c:autoTitleDeleted val="1"/>
    <c:plotArea>
      <c:layout>
        <c:manualLayout>
          <c:layoutTarget val="inner"/>
          <c:xMode val="edge"/>
          <c:yMode val="edge"/>
          <c:x val="5.8934399999999998E-2"/>
          <c:y val="8.9754700000000007E-2"/>
          <c:w val="0.92918800000000001"/>
          <c:h val="0.77455600000000002"/>
        </c:manualLayout>
      </c:layout>
      <c:barChart>
        <c:barDir val="col"/>
        <c:grouping val="clustered"/>
        <c:varyColors val="0"/>
        <c:ser>
          <c:idx val="0"/>
          <c:order val="0"/>
          <c:tx>
            <c:strRef>
              <c:f>Sheet1!$A$2</c:f>
              <c:strCache>
                <c:ptCount val="1"/>
                <c:pt idx="0">
                  <c:v>Series1</c:v>
                </c:pt>
              </c:strCache>
            </c:strRef>
          </c:tx>
          <c:spPr>
            <a:solidFill>
              <a:srgbClr val="4F81BD"/>
            </a:solidFill>
            <a:ln w="12700" cap="flat">
              <a:noFill/>
              <a:miter lim="400000"/>
            </a:ln>
            <a:effectLst/>
          </c:spPr>
          <c:invertIfNegative val="0"/>
          <c:cat>
            <c:strRef>
              <c:f>Sheet1!$B$1:$H$1</c:f>
              <c:strCache>
                <c:ptCount val="7"/>
                <c:pt idx="0">
                  <c:v>Work</c:v>
                </c:pt>
                <c:pt idx="1">
                  <c:v>Cooking</c:v>
                </c:pt>
                <c:pt idx="2">
                  <c:v>Other housework</c:v>
                </c:pt>
                <c:pt idx="3">
                  <c:v>Child care</c:v>
                </c:pt>
                <c:pt idx="4">
                  <c:v>school</c:v>
                </c:pt>
                <c:pt idx="5">
                  <c:v>Leasiure time </c:v>
                </c:pt>
                <c:pt idx="6">
                  <c:v>Other activities</c:v>
                </c:pt>
              </c:strCache>
            </c:strRef>
          </c:cat>
          <c:val>
            <c:numRef>
              <c:f>Sheet1!$B$2:$H$2</c:f>
            </c:numRef>
          </c:val>
          <c:extLst>
            <c:ext xmlns:c16="http://schemas.microsoft.com/office/drawing/2014/chart" uri="{C3380CC4-5D6E-409C-BE32-E72D297353CC}">
              <c16:uniqueId val="{00000000-BCB6-47A8-BCF1-156B06F2A88C}"/>
            </c:ext>
          </c:extLst>
        </c:ser>
        <c:ser>
          <c:idx val="1"/>
          <c:order val="1"/>
          <c:tx>
            <c:strRef>
              <c:f>Sheet1!$A$3</c:f>
              <c:strCache>
                <c:ptCount val="1"/>
                <c:pt idx="0">
                  <c:v>Series2</c:v>
                </c:pt>
              </c:strCache>
            </c:strRef>
          </c:tx>
          <c:spPr>
            <a:solidFill>
              <a:srgbClr val="C0504D"/>
            </a:solidFill>
            <a:ln w="12700" cap="flat">
              <a:noFill/>
              <a:miter lim="400000"/>
            </a:ln>
            <a:effectLst/>
          </c:spPr>
          <c:invertIfNegative val="0"/>
          <c:cat>
            <c:strRef>
              <c:f>Sheet1!$B$1:$H$1</c:f>
              <c:strCache>
                <c:ptCount val="7"/>
                <c:pt idx="0">
                  <c:v>Work</c:v>
                </c:pt>
                <c:pt idx="1">
                  <c:v>Cooking</c:v>
                </c:pt>
                <c:pt idx="2">
                  <c:v>Other housework</c:v>
                </c:pt>
                <c:pt idx="3">
                  <c:v>Child care</c:v>
                </c:pt>
                <c:pt idx="4">
                  <c:v>school</c:v>
                </c:pt>
                <c:pt idx="5">
                  <c:v>Leasiure time </c:v>
                </c:pt>
                <c:pt idx="6">
                  <c:v>Other activities</c:v>
                </c:pt>
              </c:strCache>
            </c:strRef>
          </c:cat>
          <c:val>
            <c:numRef>
              <c:f>Sheet1!$B$3:$H$3</c:f>
              <c:numCache>
                <c:formatCode>General</c:formatCode>
                <c:ptCount val="7"/>
                <c:pt idx="0">
                  <c:v>6.5</c:v>
                </c:pt>
                <c:pt idx="1">
                  <c:v>1</c:v>
                </c:pt>
                <c:pt idx="2">
                  <c:v>1.5</c:v>
                </c:pt>
                <c:pt idx="3">
                  <c:v>1.5</c:v>
                </c:pt>
                <c:pt idx="4">
                  <c:v>2</c:v>
                </c:pt>
                <c:pt idx="5">
                  <c:v>8.5</c:v>
                </c:pt>
                <c:pt idx="6">
                  <c:v>3</c:v>
                </c:pt>
              </c:numCache>
            </c:numRef>
          </c:val>
          <c:extLst>
            <c:ext xmlns:c16="http://schemas.microsoft.com/office/drawing/2014/chart" uri="{C3380CC4-5D6E-409C-BE32-E72D297353CC}">
              <c16:uniqueId val="{00000001-BCB6-47A8-BCF1-156B06F2A88C}"/>
            </c:ext>
          </c:extLst>
        </c:ser>
        <c:dLbls>
          <c:showLegendKey val="0"/>
          <c:showVal val="0"/>
          <c:showCatName val="0"/>
          <c:showSerName val="0"/>
          <c:showPercent val="0"/>
          <c:showBubbleSize val="0"/>
        </c:dLbls>
        <c:gapWidth val="219"/>
        <c:overlap val="-27"/>
        <c:axId val="2094734552"/>
        <c:axId val="2094734553"/>
      </c:barChart>
      <c:catAx>
        <c:axId val="2094734552"/>
        <c:scaling>
          <c:orientation val="minMax"/>
        </c:scaling>
        <c:delete val="0"/>
        <c:axPos val="b"/>
        <c:numFmt formatCode="General" sourceLinked="0"/>
        <c:majorTickMark val="none"/>
        <c:minorTickMark val="none"/>
        <c:tickLblPos val="low"/>
        <c:spPr>
          <a:ln w="12700" cap="flat">
            <a:solidFill>
              <a:srgbClr val="D9D9D9"/>
            </a:solidFill>
            <a:prstDash val="solid"/>
            <a:round/>
          </a:ln>
        </c:spPr>
        <c:txPr>
          <a:bodyPr rot="0"/>
          <a:lstStyle/>
          <a:p>
            <a:pPr>
              <a:defRPr sz="900" b="0" i="0" u="none" strike="noStrike">
                <a:solidFill>
                  <a:srgbClr val="595959"/>
                </a:solidFill>
                <a:latin typeface="Calibri"/>
              </a:defRPr>
            </a:pPr>
            <a:endParaRPr lang="en-US"/>
          </a:p>
        </c:txPr>
        <c:crossAx val="2094734553"/>
        <c:crosses val="autoZero"/>
        <c:auto val="1"/>
        <c:lblAlgn val="ctr"/>
        <c:lblOffset val="100"/>
        <c:noMultiLvlLbl val="1"/>
      </c:catAx>
      <c:valAx>
        <c:axId val="2094734553"/>
        <c:scaling>
          <c:orientation val="minMax"/>
        </c:scaling>
        <c:delete val="0"/>
        <c:axPos val="l"/>
        <c:majorGridlines>
          <c:spPr>
            <a:ln w="12700" cap="flat">
              <a:solidFill>
                <a:srgbClr val="D9D9D9"/>
              </a:solidFill>
              <a:prstDash val="solid"/>
              <a:round/>
            </a:ln>
          </c:spPr>
        </c:majorGridlines>
        <c:numFmt formatCode="0.#" sourceLinked="0"/>
        <c:majorTickMark val="none"/>
        <c:minorTickMark val="none"/>
        <c:tickLblPos val="nextTo"/>
        <c:spPr>
          <a:ln w="12700" cap="flat">
            <a:noFill/>
            <a:prstDash val="solid"/>
            <a:round/>
          </a:ln>
        </c:spPr>
        <c:txPr>
          <a:bodyPr rot="0"/>
          <a:lstStyle/>
          <a:p>
            <a:pPr>
              <a:defRPr sz="900" b="0" i="0" u="none" strike="noStrike">
                <a:solidFill>
                  <a:srgbClr val="595959"/>
                </a:solidFill>
                <a:latin typeface="Calibri"/>
              </a:defRPr>
            </a:pPr>
            <a:endParaRPr lang="en-US"/>
          </a:p>
        </c:txPr>
        <c:crossAx val="2094734552"/>
        <c:crosses val="autoZero"/>
        <c:crossBetween val="between"/>
        <c:majorUnit val="2.25"/>
        <c:minorUnit val="1.125"/>
      </c:valAx>
      <c:spPr>
        <a:noFill/>
        <a:ln w="12700" cap="flat">
          <a:noFill/>
          <a:miter lim="400000"/>
        </a:ln>
        <a:effectLst/>
      </c:spPr>
    </c:plotArea>
    <c:plotVisOnly val="1"/>
    <c:dispBlanksAs val="gap"/>
    <c:showDLblsOverMax val="1"/>
  </c:chart>
  <c:spPr>
    <a:solidFill>
      <a:srgbClr val="FFFFFF"/>
    </a:solidFill>
    <a:ln w="12700" cap="flat">
      <a:solidFill>
        <a:srgbClr val="D9D9D9"/>
      </a:solidFill>
      <a:prstDash val="solid"/>
      <a:round/>
    </a:ln>
    <a:effectLst/>
  </c:spPr>
  <c:externalData r:id="rId1">
    <c:autoUpdate val="0"/>
  </c:externalData>
</c:chartSpace>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xsi:nil="true"/>
    <DocumentTitle xmlns="ceb00776-aa5c-4fc8-b6fe-5f035152e4b6">Annex F C-SAP 2 PIMS5821 Gender analysis and Action Plan 0318 2019 ver 2</DocumentTitle>
  </documentManagement>
</p:properties>
</file>

<file path=customXml/itemProps1.xml><?xml version="1.0" encoding="utf-8"?>
<ds:datastoreItem xmlns:ds="http://schemas.openxmlformats.org/officeDocument/2006/customXml" ds:itemID="{FDB2023E-4764-4F57-8C0E-A0A7080700AA}"/>
</file>

<file path=customXml/itemProps2.xml><?xml version="1.0" encoding="utf-8"?>
<ds:datastoreItem xmlns:ds="http://schemas.openxmlformats.org/officeDocument/2006/customXml" ds:itemID="{F3F5E084-CC67-438D-9E10-77C00FB02BAC}"/>
</file>

<file path=customXml/itemProps3.xml><?xml version="1.0" encoding="utf-8"?>
<ds:datastoreItem xmlns:ds="http://schemas.openxmlformats.org/officeDocument/2006/customXml" ds:itemID="{A28D3617-0FA7-4412-B18B-AF735C67AA5A}"/>
</file>

<file path=docProps/app.xml><?xml version="1.0" encoding="utf-8"?>
<Properties xmlns="http://schemas.openxmlformats.org/officeDocument/2006/extended-properties" xmlns:vt="http://schemas.openxmlformats.org/officeDocument/2006/docPropsVTypes">
  <Template>Normal.dotm</Template>
  <TotalTime>0</TotalTime>
  <Pages>20</Pages>
  <Words>9391</Words>
  <Characters>53532</Characters>
  <Application>Microsoft Office Word</Application>
  <DocSecurity>0</DocSecurity>
  <Lines>446</Lines>
  <Paragraphs>125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Carline Jean-Louis</dc:creator>
  <cp:lastModifiedBy>Carline Jean-Louis</cp:lastModifiedBy>
  <cp:revision>2</cp:revision>
  <dcterms:created xsi:type="dcterms:W3CDTF">2019-04-02T20:41:00Z</dcterms:created>
  <dcterms:modified xsi:type="dcterms:W3CDTF">2019-04-02T20:41:00Z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